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pict>
          <v:shape id="_x0000_i1025" o:spt="75" type="#_x0000_t75" style="height:54pt;width:42pt;" filled="f" o:preferrelative="t" stroked="f" coordsize="21600,21600">
            <v:path/>
            <v:fill on="f" focussize="0,0"/>
            <v:stroke on="f" joinstyle="miter"/>
            <v:imagedata r:id="rId4" o:title=""/>
            <o:lock v:ext="edit" aspectratio="t"/>
            <w10:wrap type="none"/>
            <w10:anchorlock/>
          </v:shape>
        </w:pict>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bCs/>
          <w:sz w:val="28"/>
          <w:szCs w:val="28"/>
        </w:rPr>
      </w:pPr>
      <w:r>
        <w:rPr>
          <w:rStyle w:val="4"/>
          <w:bCs/>
          <w:sz w:val="28"/>
          <w:szCs w:val="28"/>
        </w:rPr>
        <w:t xml:space="preserve">РІШЕННЯ № </w:t>
      </w:r>
    </w:p>
    <w:p w14:paraId="74792AD7">
      <w:pPr>
        <w:rPr>
          <w:sz w:val="28"/>
          <w:szCs w:val="28"/>
        </w:rPr>
      </w:pPr>
    </w:p>
    <w:p w14:paraId="676D6ADF">
      <w:pPr>
        <w:rPr>
          <w:b/>
          <w:sz w:val="28"/>
          <w:szCs w:val="28"/>
        </w:rPr>
      </w:pPr>
      <w:r>
        <w:rPr>
          <w:b/>
          <w:sz w:val="28"/>
          <w:szCs w:val="28"/>
        </w:rPr>
        <w:t>14.06.2024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BA9D516">
      <w:pPr>
        <w:jc w:val="both"/>
        <w:textAlignment w:val="baseline"/>
        <w:rPr>
          <w:sz w:val="28"/>
          <w:szCs w:val="28"/>
        </w:rPr>
      </w:pPr>
    </w:p>
    <w:p w14:paraId="6D60924B">
      <w:pPr>
        <w:textAlignment w:val="baseline"/>
        <w:rPr>
          <w:b/>
          <w:sz w:val="28"/>
          <w:szCs w:val="28"/>
        </w:rPr>
      </w:pPr>
      <w:r>
        <w:rPr>
          <w:b/>
          <w:sz w:val="28"/>
          <w:szCs w:val="28"/>
        </w:rPr>
        <w:t xml:space="preserve">Про затвердження рішення </w:t>
      </w:r>
    </w:p>
    <w:p w14:paraId="2CD93744">
      <w:pPr>
        <w:textAlignment w:val="baseline"/>
        <w:rPr>
          <w:b/>
          <w:sz w:val="28"/>
          <w:szCs w:val="28"/>
        </w:rPr>
      </w:pPr>
      <w:r>
        <w:rPr>
          <w:b/>
          <w:sz w:val="28"/>
          <w:szCs w:val="28"/>
        </w:rPr>
        <w:t xml:space="preserve">комісії про надання компенсації </w:t>
      </w:r>
    </w:p>
    <w:p w14:paraId="2429F476">
      <w:pPr>
        <w:textAlignment w:val="baseline"/>
        <w:rPr>
          <w:b/>
          <w:sz w:val="28"/>
          <w:szCs w:val="28"/>
        </w:rPr>
      </w:pPr>
      <w:r>
        <w:rPr>
          <w:b/>
          <w:sz w:val="28"/>
          <w:szCs w:val="28"/>
        </w:rPr>
        <w:t xml:space="preserve">на відновлення пошкодженого об’єкту </w:t>
      </w:r>
    </w:p>
    <w:p w14:paraId="789414A7">
      <w:pPr>
        <w:jc w:val="both"/>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№118 від 10.05.2023,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№16 від 11.06.2024,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№15 від 11.06.2024, чек-листом №15 від 11.06.2024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2680D1EB">
      <w:pPr>
        <w:pStyle w:val="7"/>
        <w:jc w:val="both"/>
        <w:rPr>
          <w:szCs w:val="28"/>
        </w:rPr>
      </w:pPr>
      <w:r>
        <w:rPr>
          <w:szCs w:val="28"/>
        </w:rPr>
        <w:t xml:space="preserve">         1. Затвердити рішення комісії про надання компенсації на відновлення пошкодженого об’єкту Кабачній Валентині Григорівні (ІПН </w:t>
      </w:r>
      <w:r>
        <w:rPr>
          <w:rFonts w:hint="default"/>
          <w:szCs w:val="28"/>
          <w:lang w:val="uk-UA"/>
        </w:rPr>
        <w:t>------------</w:t>
      </w:r>
      <w:bookmarkStart w:id="0" w:name="_GoBack"/>
      <w:bookmarkEnd w:id="0"/>
      <w:r>
        <w:rPr>
          <w:szCs w:val="28"/>
        </w:rPr>
        <w:t>) за електронною заявою ЗВ-27.05.2024-108429  (Додається).</w:t>
      </w:r>
    </w:p>
    <w:p w14:paraId="3701FDE9">
      <w:pPr>
        <w:pStyle w:val="7"/>
        <w:jc w:val="both"/>
        <w:rPr>
          <w:szCs w:val="28"/>
        </w:rPr>
      </w:pPr>
      <w:r>
        <w:rPr>
          <w:szCs w:val="28"/>
        </w:rPr>
        <w:t xml:space="preserve">         </w:t>
      </w:r>
    </w:p>
    <w:p w14:paraId="6276AFCE">
      <w:pPr>
        <w:pStyle w:val="7"/>
        <w:jc w:val="both"/>
        <w:rPr>
          <w:szCs w:val="28"/>
        </w:rPr>
      </w:pPr>
    </w:p>
    <w:p w14:paraId="7E435BB5">
      <w:pPr>
        <w:pStyle w:val="7"/>
        <w:jc w:val="both"/>
        <w:rPr>
          <w:szCs w:val="28"/>
        </w:rPr>
      </w:pPr>
    </w:p>
    <w:p w14:paraId="792221D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D946808">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4167ED66">
      <w:pPr>
        <w:jc w:val="both"/>
        <w:textAlignment w:val="baseline"/>
        <w:rPr>
          <w:sz w:val="28"/>
          <w:szCs w:val="28"/>
        </w:rPr>
      </w:pPr>
    </w:p>
    <w:p w14:paraId="4B0B2A83">
      <w:pPr>
        <w:jc w:val="both"/>
        <w:textAlignment w:val="baseline"/>
        <w:rPr>
          <w:sz w:val="28"/>
          <w:szCs w:val="28"/>
        </w:rPr>
      </w:pPr>
    </w:p>
    <w:p w14:paraId="066AAFDF">
      <w:pPr>
        <w:jc w:val="both"/>
        <w:textAlignment w:val="baseline"/>
        <w:rPr>
          <w:sz w:val="28"/>
          <w:szCs w:val="28"/>
        </w:rPr>
      </w:pPr>
    </w:p>
    <w:p w14:paraId="45E9AE0A">
      <w:pPr>
        <w:jc w:val="both"/>
        <w:textAlignment w:val="baseline"/>
        <w:rPr>
          <w:sz w:val="28"/>
          <w:szCs w:val="28"/>
        </w:rPr>
      </w:pPr>
    </w:p>
    <w:p w14:paraId="30C6A008">
      <w:pPr>
        <w:jc w:val="both"/>
        <w:textAlignment w:val="baseline"/>
      </w:pPr>
    </w:p>
    <w:p w14:paraId="4EF62A0C">
      <w:pPr>
        <w:jc w:val="both"/>
        <w:textAlignment w:val="baseline"/>
      </w:pPr>
    </w:p>
    <w:p w14:paraId="54B7F1B7">
      <w:pPr>
        <w:jc w:val="both"/>
        <w:textAlignment w:val="baseline"/>
      </w:pPr>
    </w:p>
    <w:p w14:paraId="2FC0CDC7">
      <w:pPr>
        <w:jc w:val="both"/>
        <w:textAlignment w:val="baseline"/>
      </w:pPr>
    </w:p>
    <w:p w14:paraId="12A30C09">
      <w:pPr>
        <w:jc w:val="both"/>
        <w:textAlignment w:val="baseline"/>
      </w:pPr>
    </w:p>
    <w:p w14:paraId="1411665A">
      <w:pPr>
        <w:jc w:val="both"/>
        <w:textAlignment w:val="baseline"/>
      </w:pPr>
    </w:p>
    <w:p w14:paraId="7A903D32">
      <w:pPr>
        <w:jc w:val="both"/>
        <w:textAlignment w:val="baseline"/>
      </w:pPr>
    </w:p>
    <w:p w14:paraId="0A889157">
      <w:pPr>
        <w:jc w:val="both"/>
        <w:textAlignment w:val="baseline"/>
      </w:pPr>
    </w:p>
    <w:p w14:paraId="343C78EB">
      <w:pPr>
        <w:jc w:val="both"/>
        <w:textAlignment w:val="baseline"/>
      </w:pPr>
    </w:p>
    <w:p w14:paraId="0EF79FB3">
      <w:pPr>
        <w:jc w:val="both"/>
        <w:textAlignment w:val="baseline"/>
      </w:pPr>
    </w:p>
    <w:p w14:paraId="4CB63EB7">
      <w:pPr>
        <w:jc w:val="both"/>
        <w:textAlignment w:val="baseline"/>
      </w:pPr>
    </w:p>
    <w:p w14:paraId="0690BE29">
      <w:pPr>
        <w:jc w:val="both"/>
        <w:textAlignment w:val="baseline"/>
      </w:pPr>
    </w:p>
    <w:p w14:paraId="79DBEFE6">
      <w:pPr>
        <w:jc w:val="both"/>
        <w:textAlignment w:val="baseline"/>
      </w:pPr>
    </w:p>
    <w:p w14:paraId="058F55ED">
      <w:pPr>
        <w:jc w:val="both"/>
        <w:textAlignment w:val="baseline"/>
      </w:pPr>
    </w:p>
    <w:p w14:paraId="66E012E0">
      <w:pPr>
        <w:jc w:val="both"/>
        <w:textAlignment w:val="baseline"/>
      </w:pPr>
    </w:p>
    <w:p w14:paraId="3D411AE7">
      <w:pPr>
        <w:jc w:val="both"/>
        <w:textAlignment w:val="baseline"/>
      </w:pPr>
    </w:p>
    <w:p w14:paraId="05B1EF9B">
      <w:pPr>
        <w:jc w:val="both"/>
        <w:textAlignment w:val="baseline"/>
      </w:pPr>
    </w:p>
    <w:p w14:paraId="1641BF10">
      <w:pPr>
        <w:jc w:val="both"/>
        <w:textAlignment w:val="baseline"/>
      </w:pPr>
    </w:p>
    <w:p w14:paraId="734B93AA">
      <w:pPr>
        <w:jc w:val="both"/>
        <w:textAlignment w:val="baseline"/>
      </w:pPr>
    </w:p>
    <w:p w14:paraId="356CCC35">
      <w:pPr>
        <w:jc w:val="both"/>
        <w:textAlignment w:val="baseline"/>
      </w:pPr>
    </w:p>
    <w:p w14:paraId="29E2D304">
      <w:pPr>
        <w:jc w:val="both"/>
        <w:textAlignment w:val="baseline"/>
      </w:pPr>
    </w:p>
    <w:p w14:paraId="7DC5F80C">
      <w:pPr>
        <w:jc w:val="both"/>
        <w:textAlignment w:val="baseline"/>
      </w:pPr>
    </w:p>
    <w:p w14:paraId="2EC9DC05">
      <w:pPr>
        <w:jc w:val="both"/>
        <w:textAlignment w:val="baseline"/>
      </w:pPr>
    </w:p>
    <w:p w14:paraId="110A88CE">
      <w:pPr>
        <w:jc w:val="both"/>
        <w:textAlignment w:val="baseline"/>
      </w:pPr>
    </w:p>
    <w:p w14:paraId="5C2F0A45">
      <w:pPr>
        <w:jc w:val="both"/>
        <w:textAlignment w:val="baseline"/>
      </w:pPr>
    </w:p>
    <w:p w14:paraId="13A9E531">
      <w:pPr>
        <w:jc w:val="both"/>
        <w:textAlignment w:val="baseline"/>
      </w:pPr>
    </w:p>
    <w:p w14:paraId="77CA4065">
      <w:pPr>
        <w:jc w:val="both"/>
        <w:textAlignment w:val="baseline"/>
      </w:pPr>
    </w:p>
    <w:p w14:paraId="25155A5B">
      <w:pPr>
        <w:jc w:val="both"/>
        <w:textAlignment w:val="baseline"/>
      </w:pPr>
    </w:p>
    <w:p w14:paraId="3F380BAF">
      <w:pPr>
        <w:jc w:val="both"/>
        <w:textAlignment w:val="baseline"/>
      </w:pPr>
    </w:p>
    <w:p w14:paraId="6424FC02">
      <w:pPr>
        <w:jc w:val="both"/>
        <w:textAlignment w:val="baseline"/>
      </w:pPr>
    </w:p>
    <w:p w14:paraId="79E4C4D8">
      <w:pPr>
        <w:jc w:val="both"/>
        <w:textAlignment w:val="baseline"/>
      </w:pPr>
    </w:p>
    <w:p w14:paraId="586096CA">
      <w:pPr>
        <w:jc w:val="both"/>
        <w:textAlignment w:val="baseline"/>
      </w:pPr>
    </w:p>
    <w:p w14:paraId="0C85BB32">
      <w:pPr>
        <w:jc w:val="both"/>
        <w:textAlignment w:val="baseline"/>
      </w:pPr>
    </w:p>
    <w:p w14:paraId="016B31A7">
      <w:pPr>
        <w:jc w:val="both"/>
        <w:textAlignment w:val="baseline"/>
      </w:pPr>
    </w:p>
    <w:p w14:paraId="085C87E6">
      <w:pPr>
        <w:jc w:val="both"/>
        <w:textAlignment w:val="baseline"/>
      </w:pPr>
    </w:p>
    <w:p w14:paraId="60D626D2">
      <w:pPr>
        <w:jc w:val="both"/>
        <w:textAlignment w:val="baseline"/>
      </w:pPr>
    </w:p>
    <w:p w14:paraId="129C2856">
      <w:pPr>
        <w:jc w:val="both"/>
        <w:textAlignment w:val="baseline"/>
      </w:pPr>
    </w:p>
    <w:p w14:paraId="0BC4258A">
      <w:pPr>
        <w:jc w:val="both"/>
        <w:textAlignment w:val="baseline"/>
      </w:pPr>
    </w:p>
    <w:p w14:paraId="7EE0DEBE">
      <w:pPr>
        <w:jc w:val="both"/>
        <w:textAlignment w:val="baseline"/>
      </w:pPr>
    </w:p>
    <w:p w14:paraId="13CE2765"/>
    <w:p w14:paraId="66CA17A5">
      <w:r>
        <w:t>Тетяна МІЩЕНКО</w:t>
      </w:r>
    </w:p>
    <w:p w14:paraId="71F9F97E">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ans">
    <w:altName w:val="Segoe Print"/>
    <w:panose1 w:val="020B0604020202020204"/>
    <w:charset w:val="CC"/>
    <w:family w:val="swiss"/>
    <w:pitch w:val="default"/>
    <w:sig w:usb0="00000000" w:usb1="00000000" w:usb2="00000000" w:usb3="00000000" w:csb0="00000005" w:csb1="0000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EB"/>
    <w:rsid w:val="00024DA6"/>
    <w:rsid w:val="00061E7D"/>
    <w:rsid w:val="000B7BEB"/>
    <w:rsid w:val="001167B3"/>
    <w:rsid w:val="00146C00"/>
    <w:rsid w:val="00156AB9"/>
    <w:rsid w:val="00206332"/>
    <w:rsid w:val="002356EC"/>
    <w:rsid w:val="00254E70"/>
    <w:rsid w:val="003B5470"/>
    <w:rsid w:val="004658DA"/>
    <w:rsid w:val="004B6883"/>
    <w:rsid w:val="004D592B"/>
    <w:rsid w:val="005E463D"/>
    <w:rsid w:val="008C5925"/>
    <w:rsid w:val="009C7C89"/>
    <w:rsid w:val="00A77FCC"/>
    <w:rsid w:val="00C03B42"/>
    <w:rsid w:val="00D2073B"/>
    <w:rsid w:val="00D62449"/>
    <w:rsid w:val="00E63B98"/>
    <w:rsid w:val="00E76B45"/>
    <w:rsid w:val="00E8712F"/>
    <w:rsid w:val="00F54C4A"/>
    <w:rsid w:val="00FF09A8"/>
    <w:rsid w:val="72D5383D"/>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sz w:val="20"/>
      <w:szCs w:val="20"/>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uiPriority w:val="99"/>
    <w:rPr>
      <w:rFonts w:cs="Lucida Sans"/>
    </w:rPr>
  </w:style>
  <w:style w:type="character" w:customStyle="1" w:styleId="10">
    <w:name w:val="Текст выноски Знак"/>
    <w:basedOn w:val="2"/>
    <w:link w:val="5"/>
    <w:semiHidden/>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qFormat/>
    <w:uiPriority w:val="99"/>
  </w:style>
  <w:style w:type="character" w:customStyle="1" w:styleId="13">
    <w:name w:val="Основной текст Знак"/>
    <w:basedOn w:val="2"/>
    <w:link w:val="7"/>
    <w:locked/>
    <w:uiPriority w:val="99"/>
    <w:rPr>
      <w:rFonts w:ascii="Times New Roman" w:hAnsi="Times New Roman" w:cs="Times New Roman"/>
      <w:sz w:val="14"/>
      <w:szCs w:val="14"/>
      <w:lang w:eastAsia="ru-RU"/>
    </w:rPr>
  </w:style>
  <w:style w:type="character" w:customStyle="1" w:styleId="14">
    <w:name w:val="Заголовок Знак"/>
    <w:basedOn w:val="2"/>
    <w:link w:val="8"/>
    <w:uiPriority w:val="10"/>
    <w:rPr>
      <w:rFonts w:asciiTheme="majorHAnsi" w:hAnsiTheme="majorHAnsi" w:eastAsiaTheme="majorEastAsia" w:cstheme="majorBidi"/>
      <w:b/>
      <w:bCs/>
      <w:kern w:val="28"/>
      <w:sz w:val="32"/>
      <w:szCs w:val="32"/>
      <w:lang w:val="uk-UA"/>
    </w:rPr>
  </w:style>
  <w:style w:type="character" w:customStyle="1" w:styleId="15">
    <w:name w:val="Body Text Char1"/>
    <w:basedOn w:val="2"/>
    <w:semiHidden/>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basedOn w:val="2"/>
    <w:semiHidden/>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sz w:val="20"/>
      <w:szCs w:val="20"/>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2039</Words>
  <Characters>1163</Characters>
  <Lines>9</Lines>
  <Paragraphs>6</Paragraphs>
  <TotalTime>649</TotalTime>
  <ScaleCrop>false</ScaleCrop>
  <LinksUpToDate>false</LinksUpToDate>
  <CharactersWithSpaces>3196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2024-06-20T06:49:36Z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290C9FC7308E46F198BF70A3937F7A11_12</vt:lpwstr>
  </property>
</Properties>
</file>