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Calibri"/>
          <w:b/>
          <w:sz w:val="28"/>
          <w:szCs w:val="28"/>
        </w:rPr>
      </w:pPr>
      <w:r>
        <w:rPr>
          <w:rFonts w:eastAsia="Calibri"/>
          <w:b/>
          <w:sz w:val="28"/>
          <w:szCs w:val="28"/>
        </w:rPr>
        <w:t xml:space="preserve">  </w:t>
      </w:r>
      <w:r>
        <w:rPr>
          <w:rFonts w:eastAsia="Calibri"/>
          <w:b/>
          <w:sz w:val="28"/>
          <w:szCs w:val="28"/>
          <w:lang w:val="uk-UA" w:eastAsia="uk-UA"/>
        </w:rPr>
        <w:drawing>
          <wp:inline distT="0" distB="0" distL="0" distR="0">
            <wp:extent cx="5429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2925" cy="685800"/>
                    </a:xfrm>
                    <a:prstGeom prst="rect">
                      <a:avLst/>
                    </a:prstGeom>
                    <a:noFill/>
                    <a:ln>
                      <a:noFill/>
                    </a:ln>
                  </pic:spPr>
                </pic:pic>
              </a:graphicData>
            </a:graphic>
          </wp:inline>
        </w:drawing>
      </w:r>
      <w:r>
        <w:rPr>
          <w:rFonts w:eastAsia="Calibri"/>
          <w:b/>
          <w:sz w:val="28"/>
          <w:szCs w:val="28"/>
        </w:rPr>
        <w:t xml:space="preserve">                                  </w:t>
      </w:r>
    </w:p>
    <w:p>
      <w:pPr>
        <w:shd w:val="clear" w:color="auto" w:fill="FFFFFF"/>
        <w:jc w:val="center"/>
        <w:rPr>
          <w:rFonts w:eastAsia="Calibri"/>
          <w:b/>
          <w:bCs/>
          <w:sz w:val="28"/>
          <w:szCs w:val="28"/>
          <w:lang w:val="uk-UA"/>
        </w:rPr>
      </w:pPr>
      <w:r>
        <w:rPr>
          <w:rFonts w:eastAsia="Calibri"/>
          <w:b/>
          <w:bCs/>
          <w:sz w:val="28"/>
          <w:szCs w:val="28"/>
          <w:lang w:val="uk-UA"/>
        </w:rPr>
        <w:t>ПОПІВСЬКА СІЛЬСЬКА РАДА</w:t>
      </w:r>
    </w:p>
    <w:p>
      <w:pPr>
        <w:shd w:val="clear" w:color="auto" w:fill="FFFFFF"/>
        <w:jc w:val="center"/>
        <w:rPr>
          <w:rFonts w:eastAsia="Calibri"/>
          <w:b/>
          <w:bCs/>
          <w:sz w:val="28"/>
          <w:szCs w:val="28"/>
          <w:lang w:val="uk-UA"/>
        </w:rPr>
      </w:pPr>
      <w:r>
        <w:rPr>
          <w:rFonts w:eastAsia="Calibri"/>
          <w:b/>
          <w:bCs/>
          <w:sz w:val="28"/>
          <w:szCs w:val="28"/>
          <w:lang w:val="uk-UA"/>
        </w:rPr>
        <w:t>КОНОТОПСЬКОГО РАЙОНУ СУМСЬКОЇ ОБЛАСТІ</w:t>
      </w:r>
    </w:p>
    <w:p>
      <w:pPr>
        <w:shd w:val="clear" w:color="auto" w:fill="FFFFFF"/>
        <w:jc w:val="center"/>
        <w:rPr>
          <w:rFonts w:eastAsia="Calibri"/>
          <w:b/>
          <w:bCs/>
          <w:sz w:val="28"/>
          <w:szCs w:val="28"/>
          <w:lang w:val="uk-UA"/>
        </w:rPr>
      </w:pPr>
      <w:r>
        <w:rPr>
          <w:rFonts w:eastAsia="Calibri"/>
          <w:b/>
          <w:bCs/>
          <w:sz w:val="28"/>
          <w:szCs w:val="28"/>
          <w:lang w:val="uk-UA"/>
        </w:rPr>
        <w:t>ВОСЬМЕ СКЛИКАННЯ</w:t>
      </w:r>
    </w:p>
    <w:p>
      <w:pPr>
        <w:shd w:val="clear" w:color="auto" w:fill="FFFFFF"/>
        <w:jc w:val="center"/>
        <w:rPr>
          <w:rFonts w:eastAsia="Calibri"/>
          <w:b/>
          <w:bCs/>
          <w:sz w:val="28"/>
          <w:szCs w:val="28"/>
          <w:lang w:val="uk-UA"/>
        </w:rPr>
      </w:pPr>
      <w:r>
        <w:rPr>
          <w:rFonts w:eastAsia="Calibri"/>
          <w:b/>
          <w:bCs/>
          <w:sz w:val="28"/>
          <w:szCs w:val="28"/>
          <w:lang w:val="uk-UA"/>
        </w:rPr>
        <w:t>П’ЯТДЕСЯТ П’ЯТА СЕСІЯ</w:t>
      </w:r>
    </w:p>
    <w:p>
      <w:pPr>
        <w:shd w:val="clear" w:color="auto" w:fill="FFFFFF"/>
        <w:jc w:val="center"/>
        <w:rPr>
          <w:rFonts w:eastAsia="Calibri"/>
          <w:b/>
          <w:bCs/>
          <w:sz w:val="28"/>
          <w:szCs w:val="28"/>
          <w:lang w:val="uk-UA"/>
        </w:rPr>
      </w:pPr>
      <w:r>
        <w:rPr>
          <w:rFonts w:eastAsia="Calibri"/>
          <w:b/>
          <w:bCs/>
          <w:sz w:val="28"/>
          <w:szCs w:val="28"/>
          <w:lang w:val="uk-UA"/>
        </w:rPr>
        <w:t>РІШЕННЯ</w:t>
      </w:r>
    </w:p>
    <w:p>
      <w:pPr>
        <w:shd w:val="clear" w:color="auto" w:fill="FFFFFF"/>
        <w:jc w:val="center"/>
        <w:rPr>
          <w:rFonts w:eastAsia="Calibri"/>
          <w:b/>
          <w:bCs/>
          <w:sz w:val="28"/>
          <w:szCs w:val="28"/>
          <w:lang w:val="uk-UA"/>
        </w:rPr>
      </w:pPr>
      <w:r>
        <w:rPr>
          <w:rFonts w:eastAsia="Calibri"/>
          <w:b/>
          <w:bCs/>
          <w:sz w:val="28"/>
          <w:szCs w:val="28"/>
          <w:lang w:val="uk-UA"/>
        </w:rPr>
        <w:t>Попівка</w:t>
      </w:r>
    </w:p>
    <w:p>
      <w:pPr>
        <w:jc w:val="center"/>
        <w:rPr>
          <w:rFonts w:eastAsia="Calibri"/>
          <w:sz w:val="28"/>
          <w:szCs w:val="28"/>
          <w:lang w:val="uk-UA"/>
        </w:rPr>
      </w:pPr>
    </w:p>
    <w:p>
      <w:pPr>
        <w:ind w:right="-142"/>
        <w:jc w:val="both"/>
        <w:rPr>
          <w:b/>
          <w:sz w:val="28"/>
          <w:szCs w:val="28"/>
          <w:lang w:val="uk-UA"/>
        </w:rPr>
      </w:pPr>
      <w:r>
        <w:rPr>
          <w:rFonts w:eastAsia="Calibri"/>
          <w:b/>
          <w:sz w:val="28"/>
          <w:szCs w:val="28"/>
          <w:lang w:val="uk-UA"/>
        </w:rPr>
        <w:t>23.01.2024</w:t>
      </w:r>
      <w:r>
        <w:rPr>
          <w:rFonts w:eastAsia="Calibri"/>
          <w:b/>
          <w:sz w:val="28"/>
          <w:szCs w:val="28"/>
          <w:lang w:val="uk-UA"/>
        </w:rPr>
        <w:tab/>
      </w:r>
      <w:r>
        <w:rPr>
          <w:rFonts w:eastAsia="Calibri"/>
          <w:b/>
          <w:sz w:val="28"/>
          <w:szCs w:val="28"/>
          <w:lang w:val="uk-UA"/>
        </w:rPr>
        <w:tab/>
      </w:r>
      <w:r>
        <w:rPr>
          <w:rFonts w:eastAsia="Calibri"/>
          <w:b/>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 xml:space="preserve">        </w:t>
      </w:r>
      <w:r>
        <w:rPr>
          <w:b/>
          <w:sz w:val="28"/>
          <w:szCs w:val="28"/>
          <w:lang w:val="uk-UA"/>
        </w:rPr>
        <w:t>с.Попівка</w:t>
      </w:r>
    </w:p>
    <w:p>
      <w:pPr>
        <w:ind w:right="-142"/>
        <w:jc w:val="both"/>
        <w:rPr>
          <w:sz w:val="28"/>
          <w:szCs w:val="28"/>
          <w:lang w:val="uk-UA"/>
        </w:rPr>
      </w:pPr>
    </w:p>
    <w:p>
      <w:pPr>
        <w:pStyle w:val="4"/>
        <w:rPr>
          <w:b/>
          <w:szCs w:val="28"/>
        </w:rPr>
      </w:pPr>
      <w:r>
        <w:rPr>
          <w:b/>
          <w:szCs w:val="28"/>
        </w:rPr>
        <w:t>Про затвердження номенклатури, обсягу, графіку створення та накопичення місцевого матеріального резерву Попівської сільської ради Конотопського району Сумської області на 2024 рік</w:t>
      </w:r>
    </w:p>
    <w:p>
      <w:pPr>
        <w:rPr>
          <w:lang w:val="uk-UA"/>
        </w:rPr>
      </w:pPr>
    </w:p>
    <w:p>
      <w:pPr>
        <w:pStyle w:val="9"/>
        <w:ind w:firstLine="708"/>
        <w:rPr>
          <w:b w:val="0"/>
          <w:szCs w:val="28"/>
        </w:rPr>
      </w:pPr>
      <w:r>
        <w:rPr>
          <w:b w:val="0"/>
          <w:szCs w:val="28"/>
        </w:rPr>
        <w:t>З метою здійснення заходів, спрямованих на запобігання та ліквідацію наслідків надзвичайних ситуацій та надання термінової допомоги населенню, враховуючи прогнозовані для Попівської сільської територіальної громади види та рівні надзвичайних ситуацій, обсяги робіт з ліквідації їх наслідків, розміру завданих збитків, обсягів забезпечення життєдіяльності постраждалого населення, відповідно до пункту 15  частини 2 статті 19 та статті 98 Кодексу цивільного захисту України, Порядку створення та використання матеріальних резервів для запобігання і ліквідації наслідків надзвичайних ситуацій, затвердженого постановою Кабінету Міністрів України від 30 вересня 2015 року № 775,  підпункту 7 пункту «а» частини першої статті 38 та керуючись статтею 26 Закону України «Про місцеве самоврядування в Україні»,</w:t>
      </w:r>
    </w:p>
    <w:p>
      <w:pPr>
        <w:pStyle w:val="9"/>
        <w:rPr>
          <w:b w:val="0"/>
          <w:szCs w:val="28"/>
        </w:rPr>
      </w:pPr>
      <w:r>
        <w:rPr>
          <w:b w:val="0"/>
          <w:szCs w:val="28"/>
        </w:rPr>
        <w:t>сільська рада вирішила:</w:t>
      </w:r>
    </w:p>
    <w:p>
      <w:pPr>
        <w:pStyle w:val="11"/>
        <w:ind w:firstLine="708"/>
        <w:rPr>
          <w:szCs w:val="28"/>
        </w:rPr>
      </w:pPr>
      <w:r>
        <w:rPr>
          <w:bCs/>
          <w:szCs w:val="28"/>
        </w:rPr>
        <w:t xml:space="preserve">1. </w:t>
      </w:r>
      <w:r>
        <w:rPr>
          <w:szCs w:val="28"/>
        </w:rPr>
        <w:t>Затвердити номенклатуру та обсяги місцевого матеріального резерву Попівської сільської ради Конотопського району Сумської області на 2024 рік згідно з додатком 1.</w:t>
      </w:r>
    </w:p>
    <w:p>
      <w:pPr>
        <w:pStyle w:val="11"/>
        <w:ind w:firstLine="708"/>
        <w:rPr>
          <w:szCs w:val="28"/>
        </w:rPr>
      </w:pPr>
      <w:r>
        <w:rPr>
          <w:bCs/>
          <w:szCs w:val="28"/>
        </w:rPr>
        <w:t>2.</w:t>
      </w:r>
      <w:r>
        <w:rPr>
          <w:szCs w:val="28"/>
        </w:rPr>
        <w:t xml:space="preserve"> Затвердити Графік створення та накопичення місцевого матеріального резерву Попівської сільської ради Конотопського району Сумської області для запобігання і ліквідації наслідків надзвичайних ситуацій на 2024 рік, згідно з додатком 2.</w:t>
      </w:r>
    </w:p>
    <w:p>
      <w:pPr>
        <w:pStyle w:val="11"/>
        <w:ind w:firstLine="708"/>
        <w:rPr>
          <w:szCs w:val="28"/>
        </w:rPr>
      </w:pPr>
      <w:r>
        <w:rPr>
          <w:szCs w:val="28"/>
        </w:rPr>
        <w:t>3. Вважати таким, що втратили чинність пункти 1 та 2 рішення сорок другої сесії Попівської сільської ради Конотопського району Сумської області восьмого скликання «Про затвердження номенклатури, обсягу, графіку створення та накопичення місцевого матеріального резерву Попівської сільської ради Конотопського району Сумської області» від 31.03.2023р</w:t>
      </w:r>
    </w:p>
    <w:p>
      <w:pPr>
        <w:pStyle w:val="14"/>
        <w:spacing w:before="0" w:beforeAutospacing="0" w:after="0" w:afterAutospacing="0"/>
        <w:ind w:firstLine="708"/>
        <w:jc w:val="both"/>
        <w:rPr>
          <w:bCs/>
          <w:sz w:val="28"/>
          <w:szCs w:val="28"/>
          <w:lang w:val="uk-UA"/>
        </w:rPr>
      </w:pPr>
    </w:p>
    <w:p>
      <w:pPr>
        <w:pStyle w:val="14"/>
        <w:spacing w:before="0" w:beforeAutospacing="0" w:after="0" w:afterAutospacing="0"/>
        <w:ind w:firstLine="708"/>
        <w:jc w:val="both"/>
        <w:rPr>
          <w:bCs/>
          <w:sz w:val="28"/>
          <w:szCs w:val="28"/>
          <w:lang w:val="uk-UA"/>
        </w:rPr>
      </w:pPr>
    </w:p>
    <w:p>
      <w:pPr>
        <w:pStyle w:val="14"/>
        <w:spacing w:before="0" w:beforeAutospacing="0" w:after="0" w:afterAutospacing="0"/>
        <w:ind w:firstLine="708"/>
        <w:jc w:val="both"/>
        <w:rPr>
          <w:bCs/>
          <w:sz w:val="28"/>
          <w:szCs w:val="28"/>
          <w:lang w:val="uk-UA"/>
        </w:rPr>
      </w:pPr>
    </w:p>
    <w:p>
      <w:pPr>
        <w:pStyle w:val="14"/>
        <w:spacing w:before="0" w:beforeAutospacing="0" w:after="0" w:afterAutospacing="0"/>
        <w:ind w:firstLine="708"/>
        <w:jc w:val="both"/>
        <w:rPr>
          <w:bCs/>
          <w:sz w:val="28"/>
          <w:szCs w:val="28"/>
          <w:lang w:val="uk-UA"/>
        </w:rPr>
      </w:pPr>
    </w:p>
    <w:p>
      <w:pPr>
        <w:pStyle w:val="14"/>
        <w:spacing w:before="0" w:beforeAutospacing="0" w:after="0" w:afterAutospacing="0"/>
        <w:ind w:firstLine="708"/>
        <w:jc w:val="both"/>
        <w:rPr>
          <w:sz w:val="28"/>
          <w:szCs w:val="28"/>
          <w:lang w:val="uk-UA"/>
        </w:rPr>
      </w:pPr>
      <w:r>
        <w:rPr>
          <w:bCs/>
          <w:sz w:val="28"/>
          <w:szCs w:val="28"/>
          <w:lang w:val="uk-UA"/>
        </w:rPr>
        <w:t>4.</w:t>
      </w:r>
      <w:r>
        <w:rPr>
          <w:sz w:val="28"/>
          <w:szCs w:val="28"/>
          <w:lang w:val="uk-UA"/>
        </w:rPr>
        <w:t xml:space="preserve"> </w:t>
      </w:r>
      <w:r>
        <w:rPr>
          <w:rFonts w:eastAsia="Calibri"/>
          <w:sz w:val="28"/>
          <w:szCs w:val="28"/>
          <w:lang w:val="uk-UA"/>
        </w:rPr>
        <w:t>Контроль за виконанням даного рішення покласти на постійну комісію з 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w:t>
      </w:r>
      <w:r>
        <w:rPr>
          <w:bCs/>
          <w:sz w:val="28"/>
          <w:szCs w:val="28"/>
          <w:lang w:val="uk-UA" w:eastAsia="uk-UA"/>
        </w:rPr>
        <w:t>.</w:t>
      </w:r>
    </w:p>
    <w:p>
      <w:pPr>
        <w:ind w:firstLine="708"/>
        <w:jc w:val="both"/>
        <w:rPr>
          <w:b/>
          <w:bCs/>
          <w:sz w:val="28"/>
          <w:szCs w:val="28"/>
          <w:lang w:val="uk-UA" w:eastAsia="uk-UA"/>
        </w:rPr>
      </w:pPr>
    </w:p>
    <w:p>
      <w:pPr>
        <w:jc w:val="both"/>
        <w:textAlignment w:val="baseline"/>
        <w:rPr>
          <w:b/>
          <w:bCs/>
          <w:sz w:val="28"/>
          <w:szCs w:val="28"/>
          <w:lang w:val="uk-UA" w:eastAsia="uk-UA"/>
        </w:rPr>
      </w:pPr>
    </w:p>
    <w:p>
      <w:pPr>
        <w:jc w:val="both"/>
        <w:textAlignment w:val="baseline"/>
        <w:rPr>
          <w:bCs/>
          <w:sz w:val="28"/>
          <w:szCs w:val="28"/>
          <w:lang w:val="uk-UA" w:eastAsia="uk-UA"/>
        </w:rPr>
      </w:pPr>
      <w:r>
        <w:rPr>
          <w:b/>
          <w:bCs/>
          <w:sz w:val="28"/>
          <w:szCs w:val="28"/>
          <w:lang w:val="uk-UA" w:eastAsia="uk-UA"/>
        </w:rPr>
        <w:t>Сільський голова</w:t>
      </w:r>
      <w:r>
        <w:rPr>
          <w:bCs/>
          <w:sz w:val="28"/>
          <w:szCs w:val="28"/>
          <w:lang w:val="uk-UA" w:eastAsia="uk-UA"/>
        </w:rPr>
        <w:tab/>
      </w:r>
      <w:r>
        <w:rPr>
          <w:bCs/>
          <w:sz w:val="28"/>
          <w:szCs w:val="28"/>
          <w:lang w:val="uk-UA" w:eastAsia="uk-UA"/>
        </w:rPr>
        <w:t xml:space="preserve">                                             </w:t>
      </w:r>
      <w:r>
        <w:rPr>
          <w:b/>
          <w:bCs/>
          <w:sz w:val="28"/>
          <w:szCs w:val="28"/>
          <w:lang w:val="uk-UA" w:eastAsia="uk-UA"/>
        </w:rPr>
        <w:t>Анатолій БОЯРЧУК</w:t>
      </w: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p>
    <w:p>
      <w:pPr>
        <w:rPr>
          <w:rFonts w:eastAsia="Calibri"/>
          <w:sz w:val="20"/>
          <w:szCs w:val="20"/>
          <w:lang w:val="uk-UA"/>
        </w:rPr>
      </w:pPr>
      <w:r>
        <w:rPr>
          <w:rFonts w:eastAsia="Calibri"/>
          <w:sz w:val="20"/>
          <w:szCs w:val="20"/>
          <w:lang w:val="uk-UA"/>
        </w:rPr>
        <w:t>Тетяна МІЩЕНКО</w:t>
      </w:r>
    </w:p>
    <w:p>
      <w:pPr>
        <w:suppressAutoHyphens/>
        <w:jc w:val="both"/>
        <w:rPr>
          <w:rFonts w:eastAsia="Calibri"/>
          <w:sz w:val="20"/>
          <w:szCs w:val="20"/>
          <w:shd w:val="clear" w:color="auto" w:fill="FFFFFF"/>
          <w:lang w:val="uk-UA"/>
        </w:rPr>
      </w:pPr>
    </w:p>
    <w:p>
      <w:pPr>
        <w:suppressAutoHyphens/>
        <w:jc w:val="both"/>
        <w:rPr>
          <w:rFonts w:eastAsia="Calibri"/>
          <w:color w:val="000000"/>
          <w:sz w:val="20"/>
          <w:szCs w:val="20"/>
          <w:lang w:val="uk-UA"/>
        </w:rPr>
      </w:pPr>
      <w:r>
        <w:rPr>
          <w:rFonts w:eastAsia="Calibri"/>
          <w:sz w:val="20"/>
          <w:szCs w:val="20"/>
          <w:shd w:val="clear" w:color="auto" w:fill="FFFFFF"/>
          <w:lang w:val="uk-UA"/>
        </w:rPr>
        <w:t xml:space="preserve">Надіслано: до протоколу – 1, </w:t>
      </w:r>
      <w:r>
        <w:rPr>
          <w:rFonts w:eastAsia="Calibri"/>
          <w:sz w:val="20"/>
          <w:szCs w:val="20"/>
          <w:lang w:val="uk-UA"/>
        </w:rPr>
        <w:t xml:space="preserve">відділу </w:t>
      </w:r>
      <w:r>
        <w:rPr>
          <w:rFonts w:eastAsia="Calibri"/>
          <w:bCs/>
          <w:color w:val="000000"/>
          <w:sz w:val="20"/>
          <w:szCs w:val="20"/>
          <w:lang w:val="uk-UA"/>
        </w:rPr>
        <w:t>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r>
        <w:rPr>
          <w:rFonts w:eastAsia="Calibri"/>
          <w:color w:val="000000"/>
          <w:sz w:val="20"/>
          <w:szCs w:val="20"/>
          <w:lang w:val="uk-UA"/>
        </w:rPr>
        <w:t xml:space="preserve">-1; </w:t>
      </w:r>
      <w:r>
        <w:rPr>
          <w:lang w:val="uk-UA"/>
        </w:rPr>
        <w:t>в</w:t>
      </w:r>
      <w:r>
        <w:rPr>
          <w:rFonts w:eastAsia="Calibri"/>
          <w:color w:val="000000"/>
          <w:sz w:val="20"/>
          <w:szCs w:val="20"/>
          <w:lang w:val="uk-UA"/>
        </w:rPr>
        <w:t>ідділ бухгалтерського обліку, звітності та господарської діяльності апарату Попівської сільської ради-1, управління фінансів та економіки-1.</w:t>
      </w:r>
    </w:p>
    <w:p>
      <w:bookmarkStart w:id="0" w:name="_GoBack"/>
      <w:bookmarkEnd w:id="0"/>
    </w:p>
    <w:sectPr>
      <w:headerReference r:id="rId5" w:type="default"/>
      <w:pgSz w:w="11906" w:h="16838"/>
      <w:pgMar w:top="1134"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C4"/>
    <w:rsid w:val="00082D50"/>
    <w:rsid w:val="000862CE"/>
    <w:rsid w:val="000E55C6"/>
    <w:rsid w:val="0011526C"/>
    <w:rsid w:val="00131973"/>
    <w:rsid w:val="001402A3"/>
    <w:rsid w:val="001B505A"/>
    <w:rsid w:val="00204520"/>
    <w:rsid w:val="00206A0E"/>
    <w:rsid w:val="00230A24"/>
    <w:rsid w:val="00235FA9"/>
    <w:rsid w:val="0029285E"/>
    <w:rsid w:val="002F055F"/>
    <w:rsid w:val="0031476A"/>
    <w:rsid w:val="003667BB"/>
    <w:rsid w:val="003A78BC"/>
    <w:rsid w:val="003B0337"/>
    <w:rsid w:val="003B71E1"/>
    <w:rsid w:val="003E3D85"/>
    <w:rsid w:val="00413BF8"/>
    <w:rsid w:val="0044055D"/>
    <w:rsid w:val="004637D9"/>
    <w:rsid w:val="004722F4"/>
    <w:rsid w:val="00490207"/>
    <w:rsid w:val="004E7AB6"/>
    <w:rsid w:val="004F33DC"/>
    <w:rsid w:val="005017B8"/>
    <w:rsid w:val="00515C6E"/>
    <w:rsid w:val="00525804"/>
    <w:rsid w:val="005351B4"/>
    <w:rsid w:val="005447F5"/>
    <w:rsid w:val="00545D7E"/>
    <w:rsid w:val="0054747B"/>
    <w:rsid w:val="00605B71"/>
    <w:rsid w:val="006460C2"/>
    <w:rsid w:val="00665D72"/>
    <w:rsid w:val="00682CF8"/>
    <w:rsid w:val="00683AB3"/>
    <w:rsid w:val="00695138"/>
    <w:rsid w:val="006A0F30"/>
    <w:rsid w:val="006A3166"/>
    <w:rsid w:val="006C2293"/>
    <w:rsid w:val="006C503D"/>
    <w:rsid w:val="006E03F1"/>
    <w:rsid w:val="006F1159"/>
    <w:rsid w:val="007119D9"/>
    <w:rsid w:val="007340A4"/>
    <w:rsid w:val="007924EF"/>
    <w:rsid w:val="007B16DE"/>
    <w:rsid w:val="007B539D"/>
    <w:rsid w:val="007D2158"/>
    <w:rsid w:val="00827995"/>
    <w:rsid w:val="0084076D"/>
    <w:rsid w:val="00875F62"/>
    <w:rsid w:val="00875FEA"/>
    <w:rsid w:val="00887E71"/>
    <w:rsid w:val="008A4BBC"/>
    <w:rsid w:val="0091693F"/>
    <w:rsid w:val="00917840"/>
    <w:rsid w:val="00941FA9"/>
    <w:rsid w:val="009429CB"/>
    <w:rsid w:val="00947E76"/>
    <w:rsid w:val="00962F8E"/>
    <w:rsid w:val="00986D57"/>
    <w:rsid w:val="009B6C19"/>
    <w:rsid w:val="009D26E2"/>
    <w:rsid w:val="009F007A"/>
    <w:rsid w:val="00A17799"/>
    <w:rsid w:val="00A2674A"/>
    <w:rsid w:val="00A30323"/>
    <w:rsid w:val="00A53A5C"/>
    <w:rsid w:val="00A570A1"/>
    <w:rsid w:val="00A75487"/>
    <w:rsid w:val="00A945E0"/>
    <w:rsid w:val="00AC2DF8"/>
    <w:rsid w:val="00AD52E6"/>
    <w:rsid w:val="00AE2DE5"/>
    <w:rsid w:val="00AE7C9C"/>
    <w:rsid w:val="00B00B94"/>
    <w:rsid w:val="00B41BF5"/>
    <w:rsid w:val="00B74C86"/>
    <w:rsid w:val="00B75D27"/>
    <w:rsid w:val="00B778B7"/>
    <w:rsid w:val="00BB69AA"/>
    <w:rsid w:val="00BE6CC4"/>
    <w:rsid w:val="00BF7758"/>
    <w:rsid w:val="00C00318"/>
    <w:rsid w:val="00C11B3D"/>
    <w:rsid w:val="00C40342"/>
    <w:rsid w:val="00C77B23"/>
    <w:rsid w:val="00C8262D"/>
    <w:rsid w:val="00CA65BD"/>
    <w:rsid w:val="00CA6E7C"/>
    <w:rsid w:val="00CD156E"/>
    <w:rsid w:val="00CD3B5E"/>
    <w:rsid w:val="00D205E3"/>
    <w:rsid w:val="00D20D83"/>
    <w:rsid w:val="00D37BDC"/>
    <w:rsid w:val="00D37F8C"/>
    <w:rsid w:val="00D674B7"/>
    <w:rsid w:val="00E31974"/>
    <w:rsid w:val="00E36DAC"/>
    <w:rsid w:val="00E52720"/>
    <w:rsid w:val="00E72F43"/>
    <w:rsid w:val="00F53A3C"/>
    <w:rsid w:val="00F608A8"/>
    <w:rsid w:val="00F906B4"/>
    <w:rsid w:val="00FA7E17"/>
    <w:rsid w:val="00FE6244"/>
    <w:rsid w:val="199A39FB"/>
    <w:rsid w:val="58483C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2"/>
    <w:basedOn w:val="1"/>
    <w:next w:val="1"/>
    <w:link w:val="16"/>
    <w:qFormat/>
    <w:uiPriority w:val="0"/>
    <w:pPr>
      <w:keepNext/>
      <w:jc w:val="both"/>
      <w:outlineLvl w:val="1"/>
    </w:pPr>
    <w:rPr>
      <w:bCs/>
      <w:i/>
      <w:iCs/>
      <w:lang w:val="uk-UA"/>
    </w:rPr>
  </w:style>
  <w:style w:type="paragraph" w:styleId="3">
    <w:name w:val="heading 3"/>
    <w:basedOn w:val="1"/>
    <w:next w:val="1"/>
    <w:link w:val="23"/>
    <w:semiHidden/>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paragraph" w:styleId="4">
    <w:name w:val="heading 4"/>
    <w:basedOn w:val="1"/>
    <w:next w:val="1"/>
    <w:link w:val="17"/>
    <w:qFormat/>
    <w:uiPriority w:val="0"/>
    <w:pPr>
      <w:keepNext/>
      <w:jc w:val="both"/>
      <w:outlineLvl w:val="3"/>
    </w:pPr>
    <w:rPr>
      <w:bCs/>
      <w:sz w:val="28"/>
      <w:lang w:val="uk-UA"/>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Strong"/>
    <w:qFormat/>
    <w:uiPriority w:val="0"/>
    <w:rPr>
      <w:b/>
      <w:bCs/>
    </w:rPr>
  </w:style>
  <w:style w:type="paragraph" w:styleId="8">
    <w:name w:val="Balloon Text"/>
    <w:basedOn w:val="1"/>
    <w:link w:val="24"/>
    <w:semiHidden/>
    <w:unhideWhenUsed/>
    <w:qFormat/>
    <w:uiPriority w:val="99"/>
    <w:rPr>
      <w:rFonts w:ascii="Segoe UI" w:hAnsi="Segoe UI" w:cs="Segoe UI"/>
      <w:sz w:val="18"/>
      <w:szCs w:val="18"/>
    </w:rPr>
  </w:style>
  <w:style w:type="paragraph" w:styleId="9">
    <w:name w:val="Body Text 2"/>
    <w:basedOn w:val="1"/>
    <w:link w:val="20"/>
    <w:uiPriority w:val="0"/>
    <w:pPr>
      <w:jc w:val="both"/>
    </w:pPr>
    <w:rPr>
      <w:b/>
      <w:sz w:val="28"/>
      <w:lang w:val="uk-UA"/>
    </w:rPr>
  </w:style>
  <w:style w:type="paragraph" w:styleId="10">
    <w:name w:val="header"/>
    <w:basedOn w:val="1"/>
    <w:link w:val="21"/>
    <w:unhideWhenUsed/>
    <w:qFormat/>
    <w:uiPriority w:val="99"/>
    <w:pPr>
      <w:tabs>
        <w:tab w:val="center" w:pos="4677"/>
        <w:tab w:val="right" w:pos="9355"/>
      </w:tabs>
    </w:pPr>
  </w:style>
  <w:style w:type="paragraph" w:styleId="11">
    <w:name w:val="Body Text"/>
    <w:basedOn w:val="1"/>
    <w:link w:val="19"/>
    <w:qFormat/>
    <w:uiPriority w:val="0"/>
    <w:pPr>
      <w:jc w:val="both"/>
    </w:pPr>
    <w:rPr>
      <w:sz w:val="28"/>
      <w:szCs w:val="20"/>
      <w:lang w:val="uk-UA"/>
    </w:rPr>
  </w:style>
  <w:style w:type="paragraph" w:styleId="12">
    <w:name w:val="Title"/>
    <w:basedOn w:val="1"/>
    <w:link w:val="18"/>
    <w:qFormat/>
    <w:uiPriority w:val="0"/>
    <w:pPr>
      <w:jc w:val="center"/>
    </w:pPr>
    <w:rPr>
      <w:b/>
      <w:sz w:val="28"/>
      <w:szCs w:val="20"/>
      <w:lang w:val="uk-UA"/>
    </w:rPr>
  </w:style>
  <w:style w:type="paragraph" w:styleId="13">
    <w:name w:val="footer"/>
    <w:basedOn w:val="1"/>
    <w:link w:val="22"/>
    <w:unhideWhenUsed/>
    <w:qFormat/>
    <w:uiPriority w:val="99"/>
    <w:pPr>
      <w:tabs>
        <w:tab w:val="center" w:pos="4677"/>
        <w:tab w:val="right" w:pos="9355"/>
      </w:tabs>
    </w:pPr>
  </w:style>
  <w:style w:type="paragraph" w:styleId="14">
    <w:name w:val="Normal (Web)"/>
    <w:basedOn w:val="1"/>
    <w:uiPriority w:val="0"/>
    <w:pPr>
      <w:spacing w:before="100" w:beforeAutospacing="1" w:after="100" w:afterAutospacing="1"/>
    </w:pPr>
  </w:style>
  <w:style w:type="table" w:styleId="15">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2 Знак"/>
    <w:basedOn w:val="5"/>
    <w:link w:val="2"/>
    <w:qFormat/>
    <w:uiPriority w:val="0"/>
    <w:rPr>
      <w:rFonts w:ascii="Times New Roman" w:hAnsi="Times New Roman" w:eastAsia="Times New Roman" w:cs="Times New Roman"/>
      <w:bCs/>
      <w:i/>
      <w:iCs/>
      <w:sz w:val="24"/>
      <w:szCs w:val="24"/>
      <w:lang w:val="uk-UA" w:eastAsia="ru-RU"/>
    </w:rPr>
  </w:style>
  <w:style w:type="character" w:customStyle="1" w:styleId="17">
    <w:name w:val="Заголовок 4 Знак"/>
    <w:basedOn w:val="5"/>
    <w:link w:val="4"/>
    <w:qFormat/>
    <w:uiPriority w:val="0"/>
    <w:rPr>
      <w:rFonts w:ascii="Times New Roman" w:hAnsi="Times New Roman" w:eastAsia="Times New Roman" w:cs="Times New Roman"/>
      <w:bCs/>
      <w:sz w:val="28"/>
      <w:szCs w:val="24"/>
      <w:lang w:val="uk-UA" w:eastAsia="ru-RU"/>
    </w:rPr>
  </w:style>
  <w:style w:type="character" w:customStyle="1" w:styleId="18">
    <w:name w:val="Заголовок Знак"/>
    <w:basedOn w:val="5"/>
    <w:link w:val="12"/>
    <w:qFormat/>
    <w:uiPriority w:val="0"/>
    <w:rPr>
      <w:rFonts w:ascii="Times New Roman" w:hAnsi="Times New Roman" w:eastAsia="Times New Roman" w:cs="Times New Roman"/>
      <w:b/>
      <w:sz w:val="28"/>
      <w:szCs w:val="20"/>
      <w:lang w:val="uk-UA" w:eastAsia="ru-RU"/>
    </w:rPr>
  </w:style>
  <w:style w:type="character" w:customStyle="1" w:styleId="19">
    <w:name w:val="Основной текст Знак"/>
    <w:basedOn w:val="5"/>
    <w:link w:val="11"/>
    <w:qFormat/>
    <w:uiPriority w:val="0"/>
    <w:rPr>
      <w:rFonts w:ascii="Times New Roman" w:hAnsi="Times New Roman" w:eastAsia="Times New Roman" w:cs="Times New Roman"/>
      <w:sz w:val="28"/>
      <w:szCs w:val="20"/>
      <w:lang w:val="uk-UA" w:eastAsia="ru-RU"/>
    </w:rPr>
  </w:style>
  <w:style w:type="character" w:customStyle="1" w:styleId="20">
    <w:name w:val="Основной текст 2 Знак"/>
    <w:basedOn w:val="5"/>
    <w:link w:val="9"/>
    <w:qFormat/>
    <w:uiPriority w:val="0"/>
    <w:rPr>
      <w:rFonts w:ascii="Times New Roman" w:hAnsi="Times New Roman" w:eastAsia="Times New Roman" w:cs="Times New Roman"/>
      <w:b/>
      <w:sz w:val="28"/>
      <w:szCs w:val="24"/>
      <w:lang w:val="uk-UA" w:eastAsia="ru-RU"/>
    </w:rPr>
  </w:style>
  <w:style w:type="character" w:customStyle="1" w:styleId="21">
    <w:name w:val="Верхний колонтитул Знак"/>
    <w:basedOn w:val="5"/>
    <w:link w:val="10"/>
    <w:uiPriority w:val="99"/>
    <w:rPr>
      <w:rFonts w:ascii="Times New Roman" w:hAnsi="Times New Roman" w:eastAsia="Times New Roman" w:cs="Times New Roman"/>
      <w:sz w:val="24"/>
      <w:szCs w:val="24"/>
      <w:lang w:eastAsia="ru-RU"/>
    </w:rPr>
  </w:style>
  <w:style w:type="character" w:customStyle="1" w:styleId="22">
    <w:name w:val="Нижний колонтитул Знак"/>
    <w:basedOn w:val="5"/>
    <w:link w:val="13"/>
    <w:qFormat/>
    <w:uiPriority w:val="99"/>
    <w:rPr>
      <w:rFonts w:ascii="Times New Roman" w:hAnsi="Times New Roman" w:eastAsia="Times New Roman" w:cs="Times New Roman"/>
      <w:sz w:val="24"/>
      <w:szCs w:val="24"/>
      <w:lang w:eastAsia="ru-RU"/>
    </w:rPr>
  </w:style>
  <w:style w:type="character" w:customStyle="1" w:styleId="23">
    <w:name w:val="Заголовок 3 Знак"/>
    <w:basedOn w:val="5"/>
    <w:link w:val="3"/>
    <w:semiHidden/>
    <w:qFormat/>
    <w:uiPriority w:val="9"/>
    <w:rPr>
      <w:rFonts w:asciiTheme="majorHAnsi" w:hAnsiTheme="majorHAnsi" w:eastAsiaTheme="majorEastAsia" w:cstheme="majorBidi"/>
      <w:color w:val="1F4E79" w:themeColor="accent1" w:themeShade="80"/>
      <w:sz w:val="24"/>
      <w:szCs w:val="24"/>
      <w:lang w:eastAsia="ru-RU"/>
    </w:rPr>
  </w:style>
  <w:style w:type="character" w:customStyle="1" w:styleId="24">
    <w:name w:val="Текст выноски Знак"/>
    <w:basedOn w:val="5"/>
    <w:link w:val="8"/>
    <w:semiHidden/>
    <w:qFormat/>
    <w:uiPriority w:val="99"/>
    <w:rPr>
      <w:rFonts w:ascii="Segoe UI" w:hAnsi="Segoe UI" w:eastAsia="Times New Roman" w:cs="Segoe UI"/>
      <w:sz w:val="18"/>
      <w:szCs w:val="18"/>
      <w:lang w:eastAsia="ru-RU"/>
    </w:rPr>
  </w:style>
  <w:style w:type="paragraph" w:customStyle="1" w:styleId="25">
    <w:name w:val="rvps2"/>
    <w:basedOn w:val="1"/>
    <w:qFormat/>
    <w:uiPriority w:val="0"/>
    <w:pPr>
      <w:spacing w:before="100" w:beforeAutospacing="1" w:after="100" w:afterAutospacing="1"/>
    </w:pPr>
    <w:rPr>
      <w:lang w:val="uk-UA"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2708</Words>
  <Characters>1545</Characters>
  <Lines>12</Lines>
  <Paragraphs>8</Paragraphs>
  <TotalTime>1943</TotalTime>
  <ScaleCrop>false</ScaleCrop>
  <LinksUpToDate>false</LinksUpToDate>
  <CharactersWithSpaces>4245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2017-10-17T11:11:00Z</dcterms:created>
  <dc:creator>Дубінін Олександр Васильович</dc:creator>
  <cp:lastModifiedBy>Галина Шкареда</cp:lastModifiedBy>
  <cp:lastPrinted>2024-01-22T09:05:00Z</cp:lastPrinted>
  <dcterms:modified xsi:type="dcterms:W3CDTF">2024-01-24T11:23:10Z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ABA0333BAA6E43D387A56A00C0B28B16_13</vt:lpwstr>
  </property>
</Properties>
</file>