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86E4A">
      <w:pPr>
        <w:spacing w:after="0" w:line="240" w:lineRule="auto"/>
        <w:jc w:val="center"/>
        <w:rPr>
          <w:rFonts w:ascii="Times New Roman" w:hAnsi="Times New Roman" w:eastAsia="Times New Roman"/>
          <w:b/>
        </w:rPr>
      </w:pPr>
      <w:r>
        <w:rPr>
          <w:rFonts w:ascii="Times New Roman" w:hAnsi="Times New Roman" w:eastAsia="Times New Roman"/>
          <w:b/>
        </w:rPr>
        <w:t xml:space="preserve">ОБҐРУНТУВАННЯ </w:t>
      </w:r>
    </w:p>
    <w:p w14:paraId="227BD737">
      <w:pPr>
        <w:spacing w:after="0" w:line="240" w:lineRule="auto"/>
        <w:jc w:val="center"/>
        <w:rPr>
          <w:rFonts w:ascii="Times New Roman" w:hAnsi="Times New Roman" w:eastAsia="Times New Roman"/>
        </w:rPr>
      </w:pPr>
      <w:r>
        <w:rPr>
          <w:rFonts w:ascii="Times New Roman" w:hAnsi="Times New Roman" w:eastAsia="Times New Roman"/>
        </w:rPr>
        <w:t>технічних та якісних характеристик, розміру бюджетного призначення, очікуваної вартості предмета закупівлі</w:t>
      </w:r>
    </w:p>
    <w:p w14:paraId="03FC13A7">
      <w:pPr>
        <w:spacing w:after="0" w:line="240" w:lineRule="auto"/>
        <w:jc w:val="center"/>
        <w:rPr>
          <w:rFonts w:ascii="Times New Roman" w:hAnsi="Times New Roman" w:eastAsia="Times New Roman"/>
          <w:b/>
          <w:u w:val="single"/>
        </w:rPr>
      </w:pPr>
    </w:p>
    <w:p w14:paraId="788AA9C2">
      <w:pPr>
        <w:spacing w:after="0" w:line="240" w:lineRule="auto"/>
        <w:jc w:val="center"/>
        <w:rPr>
          <w:rFonts w:ascii="Times New Roman" w:hAnsi="Times New Roman" w:eastAsia="Times New Roman"/>
          <w:i/>
        </w:rPr>
      </w:pPr>
      <w:r>
        <w:rPr>
          <w:rFonts w:ascii="Times New Roman" w:hAnsi="Times New Roman" w:eastAsia="Times New Roman"/>
          <w:i/>
        </w:rPr>
        <w:t>(оприлюднюється на виконання постанови Кабміну № 710 від 11.10.2016 «Про ефективне використання державних коштів» (зі змінами))</w:t>
      </w:r>
    </w:p>
    <w:p w14:paraId="7A9F6B3D">
      <w:pPr>
        <w:spacing w:after="0" w:line="240" w:lineRule="auto"/>
        <w:jc w:val="both"/>
        <w:rPr>
          <w:rFonts w:ascii="Times New Roman" w:hAnsi="Times New Roman" w:eastAsia="Times New Roman"/>
          <w:i/>
        </w:rPr>
      </w:pPr>
    </w:p>
    <w:p w14:paraId="50E1F56D">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b/>
          <w:color w:val="000000"/>
        </w:rPr>
      </w:pPr>
      <w:r>
        <w:rPr>
          <w:rFonts w:ascii="Times New Roman" w:hAnsi="Times New Roman" w:eastAsia="Times New Roman"/>
          <w:b/>
          <w:color w:val="000000"/>
        </w:rPr>
        <w:t>Найменування: Апарат Попівської сільської ради Конотопського району Сумської області.</w:t>
      </w:r>
    </w:p>
    <w:p w14:paraId="0791309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b/>
          <w:color w:val="000000"/>
        </w:rPr>
      </w:pPr>
    </w:p>
    <w:p w14:paraId="0EE726B0">
      <w:pPr>
        <w:shd w:val="clear" w:color="auto" w:fill="FFFFFF"/>
        <w:spacing w:after="0" w:line="240" w:lineRule="auto"/>
        <w:jc w:val="both"/>
        <w:rPr>
          <w:rFonts w:ascii="Times New Roman" w:hAnsi="Times New Roman" w:eastAsia="Times New Roman"/>
          <w:spacing w:val="7"/>
          <w:shd w:val="clear" w:color="auto" w:fill="FFFFFF"/>
        </w:rPr>
      </w:pPr>
      <w:r>
        <w:rPr>
          <w:rFonts w:ascii="Times New Roman" w:hAnsi="Times New Roman" w:eastAsia="Times New Roman"/>
          <w:b/>
          <w:color w:val="000000"/>
        </w:rPr>
        <w:t>Місцезнаходження:</w:t>
      </w:r>
      <w:r>
        <w:rPr>
          <w:rFonts w:ascii="Times New Roman" w:hAnsi="Times New Roman" w:eastAsia="Times New Roman"/>
          <w:spacing w:val="7"/>
          <w:shd w:val="clear" w:color="auto" w:fill="FFFFFF"/>
        </w:rPr>
        <w:t xml:space="preserve"> Україна, 41627, Сумська область, Конотопський район, с.Попівка, </w:t>
      </w:r>
    </w:p>
    <w:p w14:paraId="6801CA19">
      <w:pPr>
        <w:shd w:val="clear" w:color="auto" w:fill="FFFFFF"/>
        <w:spacing w:after="0" w:line="240" w:lineRule="auto"/>
        <w:jc w:val="both"/>
        <w:rPr>
          <w:rFonts w:ascii="Times New Roman" w:hAnsi="Times New Roman" w:eastAsia="Times New Roman"/>
          <w:spacing w:val="7"/>
          <w:shd w:val="clear" w:color="auto" w:fill="FFFFFF"/>
        </w:rPr>
      </w:pPr>
      <w:r>
        <w:rPr>
          <w:rFonts w:ascii="Times New Roman" w:hAnsi="Times New Roman" w:eastAsia="Times New Roman"/>
          <w:spacing w:val="7"/>
          <w:shd w:val="clear" w:color="auto" w:fill="FFFFFF"/>
        </w:rPr>
        <w:t>вул. Миру, буд.1.</w:t>
      </w:r>
    </w:p>
    <w:p w14:paraId="27B31898">
      <w:pPr>
        <w:shd w:val="clear" w:color="auto" w:fill="FFFFFF"/>
        <w:spacing w:after="0" w:line="240" w:lineRule="auto"/>
        <w:jc w:val="both"/>
        <w:rPr>
          <w:rFonts w:ascii="Times New Roman" w:hAnsi="Times New Roman" w:eastAsia="Times New Roman"/>
          <w:spacing w:val="7"/>
        </w:rPr>
      </w:pPr>
    </w:p>
    <w:p w14:paraId="1CC34E32">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b/>
          <w:color w:val="000000"/>
        </w:rPr>
      </w:pPr>
      <w:r>
        <w:rPr>
          <w:rFonts w:ascii="Times New Roman" w:hAnsi="Times New Roman" w:eastAsia="Times New Roman"/>
          <w:b/>
          <w:color w:val="000000"/>
        </w:rPr>
        <w:t xml:space="preserve">Ідентифікаційний код замовника в Єдиному державному реєстрі юридичних осіб, фізичних осіб — підприємців та громадських формувань, його категорія:  </w:t>
      </w:r>
    </w:p>
    <w:p w14:paraId="0B9B98E0">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olor w:val="000000"/>
        </w:rPr>
      </w:pPr>
      <w:r>
        <w:rPr>
          <w:rFonts w:ascii="Times New Roman" w:hAnsi="Times New Roman" w:eastAsia="Times New Roman"/>
          <w:color w:val="000000"/>
        </w:rPr>
        <w:t>44084529, орган місцевого самоврядування.</w:t>
      </w:r>
    </w:p>
    <w:p w14:paraId="6B449281">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olor w:val="000000"/>
        </w:rPr>
      </w:pPr>
    </w:p>
    <w:p w14:paraId="40B5437E">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b/>
          <w:color w:val="000000"/>
        </w:rPr>
      </w:pPr>
      <w:r>
        <w:rPr>
          <w:rFonts w:ascii="Times New Roman" w:hAnsi="Times New Roman" w:eastAsia="Times New Roman"/>
          <w:b/>
          <w:color w:val="000000"/>
        </w:rPr>
        <w:t>Назва предмета закупівлі із зазначенням коду за Єдиним закупівельним словником: </w:t>
      </w:r>
    </w:p>
    <w:p w14:paraId="04EB1085">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b/>
          <w:color w:val="000000"/>
        </w:rPr>
      </w:pPr>
      <w:r>
        <w:rPr>
          <w:rFonts w:ascii="Times New Roman" w:hAnsi="Times New Roman" w:eastAsia="Times New Roman"/>
          <w:b/>
          <w:color w:val="000000"/>
        </w:rPr>
        <w:t xml:space="preserve"> </w:t>
      </w:r>
    </w:p>
    <w:p w14:paraId="3B8B9217">
      <w:pPr>
        <w:pStyle w:val="2"/>
        <w:shd w:val="clear" w:color="auto" w:fill="FFFFFF"/>
        <w:spacing w:before="0" w:after="0" w:line="240" w:lineRule="auto"/>
        <w:jc w:val="both"/>
        <w:textAlignment w:val="baseline"/>
        <w:rPr>
          <w:rFonts w:ascii="Times New Roman" w:hAnsi="Times New Roman"/>
          <w:color w:val="333333"/>
          <w:sz w:val="22"/>
          <w:szCs w:val="22"/>
        </w:rPr>
      </w:pPr>
      <w:r>
        <w:rPr>
          <w:rStyle w:val="16"/>
          <w:rFonts w:ascii="Times New Roman" w:hAnsi="Times New Roman"/>
          <w:color w:val="333333"/>
          <w:sz w:val="22"/>
          <w:szCs w:val="22"/>
        </w:rPr>
        <w:t>Поточний ремонт покриття проїзної частини ділянки автомобільної дороги по першому провулку Будівельників та сьомому провулку Будівельників сел.Заводське Конотопського району Сумської області Попівської сільської ради</w:t>
      </w:r>
    </w:p>
    <w:p w14:paraId="53863C8A">
      <w:pPr>
        <w:pStyle w:val="2"/>
        <w:shd w:val="clear" w:color="auto" w:fill="FFFFFF"/>
        <w:spacing w:before="0" w:after="0" w:line="240" w:lineRule="auto"/>
        <w:jc w:val="both"/>
        <w:textAlignment w:val="baseline"/>
        <w:rPr>
          <w:rFonts w:ascii="Times New Roman" w:hAnsi="Times New Roman"/>
          <w:color w:val="333333"/>
          <w:sz w:val="22"/>
          <w:szCs w:val="22"/>
        </w:rPr>
      </w:pPr>
      <w:r>
        <w:rPr>
          <w:rFonts w:ascii="Times New Roman" w:hAnsi="Times New Roman"/>
          <w:sz w:val="22"/>
          <w:szCs w:val="22"/>
          <w:shd w:val="clear" w:color="auto" w:fill="FFFFFF"/>
        </w:rPr>
        <w:t xml:space="preserve">за ДК 021:2015 </w:t>
      </w:r>
      <w:r>
        <w:rPr>
          <w:rStyle w:val="16"/>
          <w:rFonts w:ascii="Times New Roman" w:hAnsi="Times New Roman"/>
          <w:color w:val="333333"/>
          <w:sz w:val="22"/>
          <w:szCs w:val="22"/>
        </w:rPr>
        <w:t>45230000-8 Будівництво трубопроводів, ліній зв’язку та</w:t>
      </w:r>
      <w:r>
        <w:rPr>
          <w:rStyle w:val="17"/>
          <w:rFonts w:ascii="Times New Roman" w:hAnsi="Times New Roman"/>
          <w:color w:val="333333"/>
          <w:sz w:val="22"/>
          <w:szCs w:val="22"/>
        </w:rPr>
        <w:t xml:space="preserve"> електропередач, шосе, доріг, аеродромів і залізничних доріг; вирівнювання поверхонь</w:t>
      </w:r>
    </w:p>
    <w:p w14:paraId="0431E192">
      <w:p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jc w:val="both"/>
        <w:rPr>
          <w:rFonts w:ascii="Times New Roman" w:hAnsi="Times New Roman" w:eastAsia="Times New Roman"/>
          <w:b/>
          <w:color w:val="000000"/>
        </w:rPr>
      </w:pPr>
    </w:p>
    <w:p w14:paraId="1D763F9F">
      <w:pPr>
        <w:spacing w:after="0" w:line="240" w:lineRule="auto"/>
        <w:jc w:val="both"/>
        <w:rPr>
          <w:rFonts w:ascii="Times New Roman" w:hAnsi="Times New Roman"/>
          <w:color w:val="000000"/>
          <w:spacing w:val="7"/>
          <w:shd w:val="clear" w:color="auto" w:fill="FFFFFF"/>
        </w:rPr>
      </w:pPr>
      <w:r>
        <w:rPr>
          <w:rFonts w:ascii="Times New Roman" w:hAnsi="Times New Roman" w:eastAsia="Times New Roman"/>
          <w:b/>
        </w:rPr>
        <w:t xml:space="preserve">Процедура закупівлі: </w:t>
      </w:r>
      <w:r>
        <w:rPr>
          <w:rFonts w:ascii="Times New Roman" w:hAnsi="Times New Roman"/>
          <w:color w:val="000000"/>
          <w:spacing w:val="7"/>
          <w:shd w:val="clear" w:color="auto" w:fill="FFFFFF"/>
        </w:rPr>
        <w:t>відкриті торги з особливостями.</w:t>
      </w:r>
    </w:p>
    <w:p w14:paraId="59441D8A">
      <w:pPr>
        <w:spacing w:after="0" w:line="240" w:lineRule="auto"/>
        <w:jc w:val="both"/>
        <w:rPr>
          <w:rFonts w:ascii="Times New Roman" w:hAnsi="Times New Roman" w:eastAsia="Times New Roman"/>
          <w:b/>
        </w:rPr>
      </w:pPr>
      <w:r>
        <w:rPr>
          <w:rFonts w:ascii="Times New Roman" w:hAnsi="Times New Roman"/>
          <w:color w:val="000000"/>
          <w:spacing w:val="7"/>
          <w:shd w:val="clear" w:color="auto" w:fill="FFFFFF"/>
        </w:rPr>
        <w:t>                                                      </w:t>
      </w:r>
    </w:p>
    <w:p w14:paraId="252E2B0D">
      <w:pPr>
        <w:spacing w:after="0" w:line="240" w:lineRule="auto"/>
        <w:jc w:val="both"/>
        <w:rPr>
          <w:rFonts w:ascii="Times New Roman" w:hAnsi="Times New Roman"/>
          <w:shd w:val="clear" w:color="auto" w:fill="FFFFFF"/>
        </w:rPr>
      </w:pPr>
      <w:r>
        <w:rPr>
          <w:rFonts w:ascii="Times New Roman" w:hAnsi="Times New Roman" w:eastAsia="Times New Roman"/>
          <w:b/>
        </w:rPr>
        <w:t xml:space="preserve">Ідентифікатор процедури закупівлі: </w:t>
      </w:r>
      <w:r>
        <w:rPr>
          <w:rFonts w:ascii="Times New Roman" w:hAnsi="Times New Roman"/>
          <w:shd w:val="clear" w:color="auto" w:fill="FFFFFF"/>
        </w:rPr>
        <w:t>UA-2025-08-11-008175-a.</w:t>
      </w:r>
    </w:p>
    <w:p w14:paraId="7662445B">
      <w:pPr>
        <w:spacing w:after="0" w:line="240" w:lineRule="auto"/>
        <w:jc w:val="both"/>
        <w:rPr>
          <w:rFonts w:ascii="Times New Roman" w:hAnsi="Times New Roman"/>
          <w:shd w:val="clear" w:color="auto" w:fill="FFFFFF"/>
        </w:rPr>
      </w:pPr>
    </w:p>
    <w:p w14:paraId="499BFE52">
      <w:pPr>
        <w:shd w:val="clear" w:color="auto" w:fill="FFFFFF"/>
        <w:spacing w:after="0" w:line="240" w:lineRule="auto"/>
        <w:jc w:val="both"/>
        <w:rPr>
          <w:rFonts w:ascii="Times New Roman" w:hAnsi="Times New Roman"/>
          <w:color w:val="333333"/>
          <w:spacing w:val="7"/>
        </w:rPr>
      </w:pPr>
      <w:r>
        <w:rPr>
          <w:rFonts w:ascii="Times New Roman" w:hAnsi="Times New Roman"/>
          <w:color w:val="000000"/>
          <w:spacing w:val="7"/>
          <w:shd w:val="clear" w:color="auto" w:fill="FFFFFF"/>
        </w:rPr>
        <w:t>Згідно зі статтею 16 Закону України «Про автомобільні дороги» вулиці і дороги міст та інших населених пунктів знаходяться у віданні органів місцевого самоврядування і є комунальною власністю.</w:t>
      </w:r>
    </w:p>
    <w:p w14:paraId="00785E8B">
      <w:pPr>
        <w:shd w:val="clear" w:color="auto" w:fill="FFFFFF"/>
        <w:spacing w:after="0" w:line="240" w:lineRule="auto"/>
        <w:jc w:val="both"/>
        <w:rPr>
          <w:rFonts w:ascii="Times New Roman" w:hAnsi="Times New Roman"/>
          <w:color w:val="333333"/>
          <w:spacing w:val="7"/>
        </w:rPr>
      </w:pPr>
      <w:r>
        <w:rPr>
          <w:rFonts w:ascii="Times New Roman" w:hAnsi="Times New Roman"/>
          <w:color w:val="000000"/>
          <w:spacing w:val="7"/>
          <w:shd w:val="clear" w:color="auto" w:fill="FFFFFF"/>
        </w:rPr>
        <w:t>Статтею 19 Закону України «Про автомобільні дороги» передбачено, що основними обов’язками органів місцевого самоврядування у частині управління функціонування і розвитком вулиць і доріг міст та інших населених пунктів, зокрема, є: забезпечення безперервних, безпечних, економічних та зручних умов руху транспортних засобів і пішоходів вулицями і дорогами міст та інших населених пунктів; організація будівництва, реконструкції, ремонту та утримання вулиць і доріг міст та інших населених пунктів за встановленими для них будівельними нормами, державними стандартами та нормами.</w:t>
      </w:r>
    </w:p>
    <w:p w14:paraId="491CE3B9">
      <w:pPr>
        <w:spacing w:after="0" w:line="240" w:lineRule="auto"/>
        <w:jc w:val="both"/>
        <w:rPr>
          <w:rFonts w:ascii="Times New Roman" w:hAnsi="Times New Roman" w:eastAsia="Times New Roman"/>
        </w:rPr>
      </w:pPr>
      <w:r>
        <w:rPr>
          <w:rFonts w:ascii="Times New Roman" w:hAnsi="Times New Roman"/>
          <w:color w:val="333333"/>
          <w:spacing w:val="7"/>
          <w:lang w:val="ru-RU"/>
        </w:rPr>
        <w:t>                                                                                                                                                            </w:t>
      </w:r>
      <w:r>
        <w:rPr>
          <w:rFonts w:ascii="Times New Roman" w:hAnsi="Times New Roman" w:eastAsia="Times New Roman"/>
          <w:b/>
        </w:rPr>
        <w:t>Очікувана вартість та обґрунтування очікуваної вартості предмета закупівлі:</w:t>
      </w:r>
      <w:r>
        <w:rPr>
          <w:rFonts w:ascii="Times New Roman" w:hAnsi="Times New Roman" w:eastAsia="Times New Roman"/>
        </w:rPr>
        <w:t xml:space="preserve"> </w:t>
      </w:r>
      <w:r>
        <w:rPr>
          <w:rFonts w:ascii="Times New Roman" w:hAnsi="Times New Roman" w:eastAsia="Times New Roman"/>
          <w:b/>
        </w:rPr>
        <w:t>721670,40 грн.</w:t>
      </w:r>
      <w:r>
        <w:rPr>
          <w:rFonts w:ascii="Times New Roman" w:hAnsi="Times New Roman" w:eastAsia="Times New Roman"/>
        </w:rPr>
        <w:t xml:space="preserve">   </w:t>
      </w:r>
    </w:p>
    <w:p w14:paraId="03AA4061">
      <w:pPr>
        <w:shd w:val="clear" w:color="auto" w:fill="FFFFFF"/>
        <w:spacing w:after="0" w:line="240" w:lineRule="auto"/>
        <w:jc w:val="both"/>
        <w:rPr>
          <w:rFonts w:ascii="Times New Roman" w:hAnsi="Times New Roman"/>
          <w:color w:val="333333"/>
          <w:spacing w:val="7"/>
        </w:rPr>
      </w:pPr>
      <w:r>
        <w:rPr>
          <w:rFonts w:ascii="Times New Roman" w:hAnsi="Times New Roman"/>
          <w:color w:val="333333"/>
          <w:spacing w:val="7"/>
        </w:rPr>
        <w:t>Розрахунок</w:t>
      </w:r>
      <w:r>
        <w:rPr>
          <w:rFonts w:ascii="Times New Roman" w:hAnsi="Times New Roman"/>
          <w:b/>
          <w:bCs/>
          <w:color w:val="333333"/>
          <w:spacing w:val="7"/>
        </w:rPr>
        <w:t> </w:t>
      </w:r>
      <w:r>
        <w:rPr>
          <w:rFonts w:ascii="Times New Roman" w:hAnsi="Times New Roman"/>
          <w:color w:val="333333"/>
          <w:spacing w:val="7"/>
        </w:rPr>
        <w:t>очікуваної вартості предмета закупівлі здійснено на підставі кошторисної документації, яка враховує обсяги робіт, передбачених Дефектним актом з урахуванням Кошторисних норм України у відповідності до «Настанови визначення вартості будівництва» та Методики визначення вартості дорожніх робіт та послуг щодо визначення вартості нового будівництва, реконструкції, ремонтів та експлуатаційного утримання автомобільних доріг загального користування відповідно до Наказу Міністерства інфраструктури від 07.10.2022р. №753.</w:t>
      </w:r>
    </w:p>
    <w:p w14:paraId="69AD1B54">
      <w:pPr>
        <w:shd w:val="clear" w:color="auto" w:fill="FFFFFF"/>
        <w:spacing w:after="0" w:line="240" w:lineRule="auto"/>
        <w:jc w:val="both"/>
        <w:rPr>
          <w:rFonts w:ascii="Times New Roman" w:hAnsi="Times New Roman" w:eastAsia="Times New Roman"/>
          <w:b/>
        </w:rPr>
      </w:pPr>
      <w:r>
        <w:rPr>
          <w:rFonts w:ascii="Times New Roman" w:hAnsi="Times New Roman"/>
          <w:color w:val="333333"/>
          <w:spacing w:val="7"/>
          <w:lang w:val="ru-RU"/>
        </w:rPr>
        <w:t>                                                                                            </w:t>
      </w:r>
      <w:r>
        <w:rPr>
          <w:rFonts w:ascii="Times New Roman" w:hAnsi="Times New Roman"/>
          <w:color w:val="333333"/>
          <w:spacing w:val="7"/>
        </w:rPr>
        <w:t xml:space="preserve"> </w:t>
      </w:r>
      <w:r>
        <w:rPr>
          <w:rFonts w:ascii="Times New Roman" w:hAnsi="Times New Roman"/>
          <w:color w:val="333333"/>
          <w:spacing w:val="7"/>
          <w:lang w:val="ru-RU"/>
        </w:rPr>
        <w:t>                                                              </w:t>
      </w:r>
    </w:p>
    <w:p w14:paraId="0B260C75">
      <w:pPr>
        <w:shd w:val="clear" w:color="auto" w:fill="FFFFFF"/>
        <w:spacing w:after="0" w:line="240" w:lineRule="auto"/>
        <w:jc w:val="both"/>
        <w:rPr>
          <w:rFonts w:ascii="Times New Roman" w:hAnsi="Times New Roman" w:eastAsia="Times New Roman"/>
        </w:rPr>
      </w:pPr>
      <w:r>
        <w:rPr>
          <w:rFonts w:ascii="Times New Roman" w:hAnsi="Times New Roman" w:eastAsia="Times New Roman"/>
          <w:b/>
        </w:rPr>
        <w:t>Розмір бюджетного призначення:</w:t>
      </w:r>
      <w:r>
        <w:rPr>
          <w:rFonts w:ascii="Times New Roman" w:hAnsi="Times New Roman" w:eastAsia="Times New Roman"/>
        </w:rPr>
        <w:t xml:space="preserve"> </w:t>
      </w:r>
    </w:p>
    <w:p w14:paraId="40A5C13C">
      <w:pPr>
        <w:shd w:val="clear" w:color="auto" w:fill="FFFFFF"/>
        <w:spacing w:after="0" w:line="240" w:lineRule="auto"/>
        <w:jc w:val="both"/>
        <w:rPr>
          <w:rFonts w:ascii="Times New Roman" w:hAnsi="Times New Roman"/>
          <w:color w:val="333333"/>
          <w:spacing w:val="7"/>
        </w:rPr>
      </w:pPr>
      <w:r>
        <w:rPr>
          <w:rFonts w:ascii="Times New Roman" w:hAnsi="Times New Roman"/>
          <w:color w:val="333333"/>
          <w:spacing w:val="7"/>
        </w:rPr>
        <w:t>Розмір бюджетного призначення</w:t>
      </w:r>
      <w:r>
        <w:rPr>
          <w:rFonts w:ascii="Times New Roman" w:hAnsi="Times New Roman"/>
          <w:b/>
          <w:bCs/>
          <w:color w:val="333333"/>
          <w:spacing w:val="7"/>
        </w:rPr>
        <w:t> </w:t>
      </w:r>
      <w:r>
        <w:rPr>
          <w:rFonts w:ascii="Times New Roman" w:hAnsi="Times New Roman"/>
          <w:color w:val="333333"/>
          <w:spacing w:val="7"/>
          <w:lang w:val="ru-RU"/>
        </w:rPr>
        <w:t>поданий</w:t>
      </w:r>
      <w:r>
        <w:rPr>
          <w:rFonts w:hint="default" w:ascii="Times New Roman" w:hAnsi="Times New Roman"/>
          <w:color w:val="333333"/>
          <w:spacing w:val="7"/>
          <w:lang w:val="ru-RU"/>
        </w:rPr>
        <w:t xml:space="preserve"> на затвердження </w:t>
      </w:r>
      <w:r>
        <w:rPr>
          <w:rFonts w:hint="default" w:ascii="Times New Roman" w:hAnsi="Times New Roman"/>
          <w:color w:val="333333"/>
          <w:spacing w:val="7"/>
          <w:lang w:val="uk-UA"/>
        </w:rPr>
        <w:t>ч</w:t>
      </w:r>
      <w:r>
        <w:rPr>
          <w:rFonts w:hint="default" w:ascii="Times New Roman" w:hAnsi="Times New Roman"/>
          <w:color w:val="333333"/>
          <w:spacing w:val="7"/>
          <w:lang w:val="ru-RU"/>
        </w:rPr>
        <w:t>ергово</w:t>
      </w:r>
      <w:r>
        <w:rPr>
          <w:rFonts w:hint="default" w:ascii="Times New Roman" w:hAnsi="Times New Roman"/>
          <w:color w:val="333333"/>
          <w:spacing w:val="7"/>
          <w:lang w:val="uk-UA"/>
        </w:rPr>
        <w:t>ї сесії</w:t>
      </w:r>
      <w:r>
        <w:rPr>
          <w:rFonts w:ascii="Times New Roman" w:hAnsi="Times New Roman"/>
          <w:color w:val="333333"/>
          <w:spacing w:val="7"/>
        </w:rPr>
        <w:t xml:space="preserve"> Попівської сільської ради по КПКВК «Утримання та розвиток автомобільних доріг та дорожньої інфраструктури за рахунок коштів місцевого бюджету».</w:t>
      </w:r>
    </w:p>
    <w:p w14:paraId="4378C7BF">
      <w:pPr>
        <w:shd w:val="clear" w:color="auto" w:fill="FFFFFF"/>
        <w:spacing w:after="0" w:line="240" w:lineRule="auto"/>
        <w:jc w:val="both"/>
        <w:rPr>
          <w:rFonts w:ascii="Times New Roman" w:hAnsi="Times New Roman"/>
          <w:b/>
          <w:bCs/>
          <w:color w:val="333333"/>
          <w:spacing w:val="7"/>
        </w:rPr>
      </w:pPr>
    </w:p>
    <w:p w14:paraId="2AEE5B2F">
      <w:pPr>
        <w:shd w:val="clear" w:color="auto" w:fill="FFFFFF"/>
        <w:spacing w:after="0" w:line="240" w:lineRule="auto"/>
        <w:jc w:val="both"/>
        <w:rPr>
          <w:rFonts w:ascii="Times New Roman" w:hAnsi="Times New Roman"/>
          <w:color w:val="333333"/>
          <w:spacing w:val="7"/>
        </w:rPr>
      </w:pPr>
      <w:bookmarkStart w:id="0" w:name="_GoBack"/>
      <w:bookmarkEnd w:id="0"/>
      <w:r>
        <w:rPr>
          <w:rFonts w:ascii="Times New Roman" w:hAnsi="Times New Roman"/>
          <w:b/>
          <w:bCs/>
          <w:color w:val="333333"/>
          <w:spacing w:val="7"/>
        </w:rPr>
        <w:t>Обґрунтування технічних та якісних характеристик предмета закупівлі.  </w:t>
      </w:r>
      <w:r>
        <w:rPr>
          <w:rFonts w:ascii="Times New Roman" w:hAnsi="Times New Roman"/>
          <w:color w:val="333333"/>
          <w:spacing w:val="7"/>
        </w:rPr>
        <w:t>Технічні та якісні характеристики предмета закупівлі визначені відповідно до державних та відомчих норм, стандартів, що є обов’язковими при визначенні вартості дорожніх робіт та послуг: ГБН Г.1-218-182:2011, ДСТУ Б В.2.7-119:2011,  ДБН В.2.3-4:2015, «СОУ 42.1-37641918-085:2018 Автомобільні дороги. Правила визначення вартості робіт з поточного ремонту та експлуатаційного утримання».</w:t>
      </w:r>
    </w:p>
    <w:p w14:paraId="12BBE758">
      <w:pPr>
        <w:shd w:val="clear" w:color="auto" w:fill="FFFFFF"/>
        <w:spacing w:after="0" w:line="240" w:lineRule="auto"/>
        <w:jc w:val="center"/>
        <w:rPr>
          <w:rFonts w:ascii="Times New Roman" w:hAnsi="Times New Roman"/>
          <w:b/>
          <w:color w:val="333333"/>
          <w:spacing w:val="7"/>
        </w:rPr>
      </w:pPr>
      <w:r>
        <w:rPr>
          <w:rFonts w:ascii="Times New Roman" w:hAnsi="Times New Roman"/>
          <w:b/>
          <w:color w:val="333333"/>
          <w:spacing w:val="7"/>
        </w:rPr>
        <w:t>Технічне завдання</w:t>
      </w:r>
    </w:p>
    <w:p w14:paraId="13BAD80C">
      <w:pPr>
        <w:shd w:val="clear" w:color="auto" w:fill="FFFFFF"/>
        <w:spacing w:after="0" w:line="240" w:lineRule="auto"/>
        <w:jc w:val="both"/>
        <w:rPr>
          <w:rFonts w:ascii="Times New Roman" w:hAnsi="Times New Roman"/>
          <w:color w:val="333333"/>
          <w:spacing w:val="7"/>
          <w:lang w:val="ru-RU"/>
        </w:rPr>
      </w:pPr>
    </w:p>
    <w:tbl>
      <w:tblPr>
        <w:tblStyle w:val="9"/>
        <w:tblW w:w="10208" w:type="dxa"/>
        <w:jc w:val="center"/>
        <w:tblLayout w:type="fixed"/>
        <w:tblCellMar>
          <w:top w:w="0" w:type="dxa"/>
          <w:left w:w="28" w:type="dxa"/>
          <w:bottom w:w="0" w:type="dxa"/>
          <w:right w:w="28" w:type="dxa"/>
        </w:tblCellMar>
      </w:tblPr>
      <w:tblGrid>
        <w:gridCol w:w="567"/>
        <w:gridCol w:w="5387"/>
        <w:gridCol w:w="1418"/>
        <w:gridCol w:w="1418"/>
        <w:gridCol w:w="1418"/>
      </w:tblGrid>
      <w:tr w14:paraId="6AB10120">
        <w:tblPrEx>
          <w:tblCellMar>
            <w:top w:w="0" w:type="dxa"/>
            <w:left w:w="28" w:type="dxa"/>
            <w:bottom w:w="0" w:type="dxa"/>
            <w:right w:w="28" w:type="dxa"/>
          </w:tblCellMar>
        </w:tblPrEx>
        <w:trPr>
          <w:jc w:val="center"/>
        </w:trPr>
        <w:tc>
          <w:tcPr>
            <w:tcW w:w="567" w:type="dxa"/>
            <w:tcBorders>
              <w:top w:val="single" w:color="auto" w:sz="12" w:space="0"/>
              <w:left w:val="single" w:color="auto" w:sz="12" w:space="0"/>
              <w:bottom w:val="nil"/>
              <w:right w:val="single" w:color="auto" w:sz="4" w:space="0"/>
            </w:tcBorders>
            <w:vAlign w:val="center"/>
          </w:tcPr>
          <w:p w14:paraId="0124395F">
            <w:pPr>
              <w:keepLines/>
              <w:autoSpaceDE w:val="0"/>
              <w:autoSpaceDN w:val="0"/>
              <w:spacing w:after="0" w:line="240" w:lineRule="auto"/>
              <w:jc w:val="center"/>
              <w:rPr>
                <w:rFonts w:ascii="Times New Roman" w:hAnsi="Times New Roman"/>
              </w:rPr>
            </w:pPr>
            <w:r>
              <w:rPr>
                <w:rFonts w:ascii="Times New Roman" w:hAnsi="Times New Roman"/>
              </w:rPr>
              <w:t>№ з/п</w:t>
            </w:r>
          </w:p>
        </w:tc>
        <w:tc>
          <w:tcPr>
            <w:tcW w:w="5387" w:type="dxa"/>
            <w:tcBorders>
              <w:top w:val="single" w:color="auto" w:sz="12" w:space="0"/>
              <w:left w:val="nil"/>
              <w:bottom w:val="nil"/>
              <w:right w:val="nil"/>
            </w:tcBorders>
            <w:vAlign w:val="center"/>
          </w:tcPr>
          <w:p w14:paraId="23766CF8">
            <w:pPr>
              <w:keepLines/>
              <w:autoSpaceDE w:val="0"/>
              <w:autoSpaceDN w:val="0"/>
              <w:spacing w:after="0" w:line="240" w:lineRule="auto"/>
              <w:jc w:val="center"/>
              <w:rPr>
                <w:rFonts w:ascii="Arial" w:hAnsi="Arial" w:cs="Arial"/>
                <w:spacing w:val="-5"/>
                <w:sz w:val="20"/>
                <w:szCs w:val="20"/>
              </w:rPr>
            </w:pPr>
          </w:p>
          <w:p w14:paraId="113F2543">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Найменування робіт і витрат</w:t>
            </w:r>
          </w:p>
          <w:p w14:paraId="7837A874">
            <w:pPr>
              <w:keepLines/>
              <w:autoSpaceDE w:val="0"/>
              <w:autoSpaceDN w:val="0"/>
              <w:spacing w:after="0" w:line="240" w:lineRule="auto"/>
              <w:jc w:val="center"/>
              <w:rPr>
                <w:rFonts w:ascii="Times New Roman" w:hAnsi="Times New Roman"/>
              </w:rPr>
            </w:pPr>
          </w:p>
        </w:tc>
        <w:tc>
          <w:tcPr>
            <w:tcW w:w="1418" w:type="dxa"/>
            <w:tcBorders>
              <w:top w:val="single" w:color="auto" w:sz="12" w:space="0"/>
              <w:left w:val="single" w:color="auto" w:sz="4" w:space="0"/>
              <w:bottom w:val="nil"/>
              <w:right w:val="nil"/>
            </w:tcBorders>
            <w:vAlign w:val="center"/>
          </w:tcPr>
          <w:p w14:paraId="1716F17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Одиниця</w:t>
            </w:r>
          </w:p>
          <w:p w14:paraId="49B28BFE">
            <w:pPr>
              <w:keepLines/>
              <w:autoSpaceDE w:val="0"/>
              <w:autoSpaceDN w:val="0"/>
              <w:spacing w:after="0" w:line="240" w:lineRule="auto"/>
              <w:jc w:val="center"/>
              <w:rPr>
                <w:rFonts w:ascii="Times New Roman" w:hAnsi="Times New Roman"/>
              </w:rPr>
            </w:pPr>
            <w:r>
              <w:rPr>
                <w:rFonts w:ascii="Arial" w:hAnsi="Arial" w:cs="Arial"/>
                <w:spacing w:val="-5"/>
                <w:sz w:val="20"/>
                <w:szCs w:val="20"/>
              </w:rPr>
              <w:t>виміру</w:t>
            </w:r>
          </w:p>
        </w:tc>
        <w:tc>
          <w:tcPr>
            <w:tcW w:w="1418" w:type="dxa"/>
            <w:tcBorders>
              <w:top w:val="single" w:color="auto" w:sz="12" w:space="0"/>
              <w:left w:val="single" w:color="auto" w:sz="4" w:space="0"/>
              <w:bottom w:val="nil"/>
              <w:right w:val="single" w:color="auto" w:sz="4" w:space="0"/>
            </w:tcBorders>
            <w:vAlign w:val="center"/>
          </w:tcPr>
          <w:p w14:paraId="61B16AD6">
            <w:pPr>
              <w:keepLines/>
              <w:autoSpaceDE w:val="0"/>
              <w:autoSpaceDN w:val="0"/>
              <w:spacing w:after="0" w:line="240" w:lineRule="auto"/>
              <w:jc w:val="center"/>
              <w:rPr>
                <w:rFonts w:ascii="Times New Roman" w:hAnsi="Times New Roman"/>
              </w:rPr>
            </w:pPr>
            <w:r>
              <w:rPr>
                <w:rFonts w:ascii="Arial" w:hAnsi="Arial" w:cs="Arial"/>
                <w:spacing w:val="-5"/>
                <w:sz w:val="20"/>
                <w:szCs w:val="20"/>
              </w:rPr>
              <w:t xml:space="preserve">  Кількість</w:t>
            </w:r>
          </w:p>
        </w:tc>
        <w:tc>
          <w:tcPr>
            <w:tcW w:w="1418" w:type="dxa"/>
            <w:tcBorders>
              <w:top w:val="single" w:color="auto" w:sz="12" w:space="0"/>
              <w:left w:val="single" w:color="auto" w:sz="4" w:space="0"/>
              <w:bottom w:val="nil"/>
              <w:right w:val="single" w:color="auto" w:sz="12" w:space="0"/>
            </w:tcBorders>
            <w:vAlign w:val="center"/>
          </w:tcPr>
          <w:p w14:paraId="6E5C6C3B">
            <w:pPr>
              <w:keepLines/>
              <w:autoSpaceDE w:val="0"/>
              <w:autoSpaceDN w:val="0"/>
              <w:spacing w:after="0" w:line="240" w:lineRule="auto"/>
              <w:jc w:val="center"/>
              <w:rPr>
                <w:rFonts w:ascii="Times New Roman" w:hAnsi="Times New Roman"/>
              </w:rPr>
            </w:pPr>
            <w:r>
              <w:rPr>
                <w:rFonts w:ascii="Arial" w:hAnsi="Arial" w:cs="Arial"/>
                <w:spacing w:val="-5"/>
                <w:sz w:val="20"/>
                <w:szCs w:val="20"/>
              </w:rPr>
              <w:t>Примітка</w:t>
            </w:r>
          </w:p>
        </w:tc>
      </w:tr>
      <w:tr w14:paraId="4DBBFD03">
        <w:tblPrEx>
          <w:tblCellMar>
            <w:top w:w="0" w:type="dxa"/>
            <w:left w:w="28" w:type="dxa"/>
            <w:bottom w:w="0" w:type="dxa"/>
            <w:right w:w="28" w:type="dxa"/>
          </w:tblCellMar>
        </w:tblPrEx>
        <w:trPr>
          <w:jc w:val="center"/>
        </w:trPr>
        <w:tc>
          <w:tcPr>
            <w:tcW w:w="567" w:type="dxa"/>
            <w:tcBorders>
              <w:top w:val="single" w:color="auto" w:sz="4" w:space="0"/>
              <w:left w:val="single" w:color="auto" w:sz="12" w:space="0"/>
              <w:bottom w:val="single" w:color="auto" w:sz="4" w:space="0"/>
              <w:right w:val="single" w:color="auto" w:sz="4" w:space="0"/>
            </w:tcBorders>
            <w:vAlign w:val="center"/>
          </w:tcPr>
          <w:p w14:paraId="238525D5">
            <w:pPr>
              <w:keepLines/>
              <w:autoSpaceDE w:val="0"/>
              <w:autoSpaceDN w:val="0"/>
              <w:spacing w:after="0" w:line="240" w:lineRule="auto"/>
              <w:jc w:val="center"/>
              <w:rPr>
                <w:rFonts w:ascii="Times New Roman" w:hAnsi="Times New Roman"/>
              </w:rPr>
            </w:pPr>
            <w:r>
              <w:rPr>
                <w:rFonts w:ascii="Arial" w:hAnsi="Arial" w:cs="Arial"/>
                <w:spacing w:val="-5"/>
                <w:sz w:val="20"/>
                <w:szCs w:val="20"/>
              </w:rPr>
              <w:t>1</w:t>
            </w:r>
          </w:p>
        </w:tc>
        <w:tc>
          <w:tcPr>
            <w:tcW w:w="5387" w:type="dxa"/>
            <w:tcBorders>
              <w:top w:val="single" w:color="auto" w:sz="4" w:space="0"/>
              <w:left w:val="nil"/>
              <w:bottom w:val="single" w:color="auto" w:sz="4" w:space="0"/>
              <w:right w:val="nil"/>
            </w:tcBorders>
            <w:vAlign w:val="center"/>
          </w:tcPr>
          <w:p w14:paraId="460923DC">
            <w:pPr>
              <w:keepLines/>
              <w:autoSpaceDE w:val="0"/>
              <w:autoSpaceDN w:val="0"/>
              <w:spacing w:after="0" w:line="240" w:lineRule="auto"/>
              <w:jc w:val="center"/>
              <w:rPr>
                <w:rFonts w:ascii="Times New Roman" w:hAnsi="Times New Roman"/>
              </w:rPr>
            </w:pPr>
            <w:r>
              <w:rPr>
                <w:rFonts w:ascii="Arial" w:hAnsi="Arial" w:cs="Arial"/>
                <w:spacing w:val="-5"/>
                <w:sz w:val="20"/>
                <w:szCs w:val="20"/>
              </w:rPr>
              <w:t>2</w:t>
            </w:r>
          </w:p>
        </w:tc>
        <w:tc>
          <w:tcPr>
            <w:tcW w:w="1418" w:type="dxa"/>
            <w:tcBorders>
              <w:top w:val="single" w:color="auto" w:sz="4" w:space="0"/>
              <w:left w:val="single" w:color="auto" w:sz="4" w:space="0"/>
              <w:bottom w:val="single" w:color="auto" w:sz="4" w:space="0"/>
              <w:right w:val="nil"/>
            </w:tcBorders>
            <w:vAlign w:val="center"/>
          </w:tcPr>
          <w:p w14:paraId="67B193B3">
            <w:pPr>
              <w:keepLines/>
              <w:autoSpaceDE w:val="0"/>
              <w:autoSpaceDN w:val="0"/>
              <w:spacing w:after="0" w:line="240" w:lineRule="auto"/>
              <w:jc w:val="center"/>
              <w:rPr>
                <w:rFonts w:ascii="Times New Roman" w:hAnsi="Times New Roman"/>
              </w:rPr>
            </w:pPr>
            <w:r>
              <w:rPr>
                <w:rFonts w:ascii="Arial" w:hAnsi="Arial" w:cs="Arial"/>
                <w:spacing w:val="-5"/>
                <w:sz w:val="20"/>
                <w:szCs w:val="20"/>
              </w:rPr>
              <w:t>3</w:t>
            </w:r>
          </w:p>
        </w:tc>
        <w:tc>
          <w:tcPr>
            <w:tcW w:w="1418" w:type="dxa"/>
            <w:tcBorders>
              <w:top w:val="single" w:color="auto" w:sz="4" w:space="0"/>
              <w:left w:val="single" w:color="auto" w:sz="4" w:space="0"/>
              <w:bottom w:val="single" w:color="auto" w:sz="4" w:space="0"/>
              <w:right w:val="single" w:color="auto" w:sz="4" w:space="0"/>
            </w:tcBorders>
            <w:vAlign w:val="center"/>
          </w:tcPr>
          <w:p w14:paraId="227C1FA2">
            <w:pPr>
              <w:keepLines/>
              <w:autoSpaceDE w:val="0"/>
              <w:autoSpaceDN w:val="0"/>
              <w:spacing w:after="0" w:line="240" w:lineRule="auto"/>
              <w:jc w:val="center"/>
              <w:rPr>
                <w:rFonts w:ascii="Times New Roman" w:hAnsi="Times New Roman"/>
              </w:rPr>
            </w:pPr>
            <w:r>
              <w:rPr>
                <w:rFonts w:ascii="Arial" w:hAnsi="Arial" w:cs="Arial"/>
                <w:spacing w:val="-5"/>
                <w:sz w:val="20"/>
                <w:szCs w:val="20"/>
              </w:rPr>
              <w:t>4</w:t>
            </w:r>
          </w:p>
        </w:tc>
        <w:tc>
          <w:tcPr>
            <w:tcW w:w="1418" w:type="dxa"/>
            <w:tcBorders>
              <w:top w:val="single" w:color="auto" w:sz="4" w:space="0"/>
              <w:left w:val="single" w:color="auto" w:sz="4" w:space="0"/>
              <w:bottom w:val="single" w:color="auto" w:sz="4" w:space="0"/>
              <w:right w:val="single" w:color="auto" w:sz="12" w:space="0"/>
            </w:tcBorders>
            <w:vAlign w:val="center"/>
          </w:tcPr>
          <w:p w14:paraId="0ED64905">
            <w:pPr>
              <w:keepLines/>
              <w:autoSpaceDE w:val="0"/>
              <w:autoSpaceDN w:val="0"/>
              <w:spacing w:after="0" w:line="240" w:lineRule="auto"/>
              <w:jc w:val="center"/>
              <w:rPr>
                <w:rFonts w:ascii="Times New Roman" w:hAnsi="Times New Roman"/>
              </w:rPr>
            </w:pPr>
            <w:r>
              <w:rPr>
                <w:rFonts w:ascii="Arial" w:hAnsi="Arial" w:cs="Arial"/>
                <w:spacing w:val="-5"/>
                <w:sz w:val="20"/>
                <w:szCs w:val="20"/>
              </w:rPr>
              <w:t>5</w:t>
            </w:r>
          </w:p>
        </w:tc>
      </w:tr>
      <w:tr w14:paraId="5E92F7EA">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14:paraId="3FE63EC5">
            <w:pPr>
              <w:keepLines/>
              <w:autoSpaceDE w:val="0"/>
              <w:autoSpaceDN w:val="0"/>
              <w:spacing w:after="0" w:line="240" w:lineRule="auto"/>
              <w:jc w:val="center"/>
              <w:rPr>
                <w:rFonts w:ascii="Times New Roman" w:hAnsi="Times New Roman"/>
              </w:rPr>
            </w:pPr>
            <w:r>
              <w:rPr>
                <w:rFonts w:ascii="Arial" w:hAnsi="Arial" w:cs="Arial"/>
                <w:spacing w:val="-5"/>
                <w:sz w:val="20"/>
                <w:szCs w:val="20"/>
              </w:rPr>
              <w:t>1</w:t>
            </w:r>
          </w:p>
        </w:tc>
        <w:tc>
          <w:tcPr>
            <w:tcW w:w="5387" w:type="dxa"/>
            <w:tcBorders>
              <w:top w:val="nil"/>
              <w:left w:val="nil"/>
              <w:bottom w:val="nil"/>
              <w:right w:val="nil"/>
            </w:tcBorders>
          </w:tcPr>
          <w:p w14:paraId="2F23942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Розбирання щебеневих покриттів та основ</w:t>
            </w:r>
          </w:p>
          <w:p w14:paraId="10253141">
            <w:pPr>
              <w:keepLines/>
              <w:autoSpaceDE w:val="0"/>
              <w:autoSpaceDN w:val="0"/>
              <w:spacing w:after="0" w:line="240" w:lineRule="auto"/>
              <w:rPr>
                <w:rFonts w:ascii="Times New Roman" w:hAnsi="Times New Roman"/>
              </w:rPr>
            </w:pPr>
          </w:p>
        </w:tc>
        <w:tc>
          <w:tcPr>
            <w:tcW w:w="1418" w:type="dxa"/>
            <w:tcBorders>
              <w:top w:val="nil"/>
              <w:left w:val="single" w:color="auto" w:sz="4" w:space="0"/>
              <w:bottom w:val="nil"/>
              <w:right w:val="nil"/>
            </w:tcBorders>
          </w:tcPr>
          <w:p w14:paraId="7DDF3D69">
            <w:pPr>
              <w:keepLines/>
              <w:autoSpaceDE w:val="0"/>
              <w:autoSpaceDN w:val="0"/>
              <w:spacing w:after="0" w:line="240" w:lineRule="auto"/>
              <w:jc w:val="center"/>
              <w:rPr>
                <w:rFonts w:ascii="Times New Roman" w:hAnsi="Times New Roman"/>
              </w:rPr>
            </w:pPr>
            <w:r>
              <w:rPr>
                <w:rFonts w:ascii="Arial" w:hAnsi="Arial" w:cs="Arial"/>
                <w:spacing w:val="-5"/>
                <w:sz w:val="20"/>
                <w:szCs w:val="20"/>
              </w:rPr>
              <w:t>м3</w:t>
            </w:r>
          </w:p>
        </w:tc>
        <w:tc>
          <w:tcPr>
            <w:tcW w:w="1418" w:type="dxa"/>
            <w:tcBorders>
              <w:top w:val="nil"/>
              <w:left w:val="single" w:color="auto" w:sz="4" w:space="0"/>
              <w:bottom w:val="nil"/>
              <w:right w:val="single" w:color="auto" w:sz="4" w:space="0"/>
            </w:tcBorders>
          </w:tcPr>
          <w:p w14:paraId="60A28EFD">
            <w:pPr>
              <w:keepLines/>
              <w:autoSpaceDE w:val="0"/>
              <w:autoSpaceDN w:val="0"/>
              <w:spacing w:after="0" w:line="240" w:lineRule="auto"/>
              <w:jc w:val="center"/>
              <w:rPr>
                <w:rFonts w:ascii="Times New Roman" w:hAnsi="Times New Roman"/>
              </w:rPr>
            </w:pPr>
            <w:r>
              <w:rPr>
                <w:rFonts w:ascii="Arial" w:hAnsi="Arial" w:cs="Arial"/>
                <w:spacing w:val="-5"/>
                <w:sz w:val="20"/>
                <w:szCs w:val="20"/>
              </w:rPr>
              <w:t>2</w:t>
            </w:r>
          </w:p>
        </w:tc>
        <w:tc>
          <w:tcPr>
            <w:tcW w:w="1418" w:type="dxa"/>
            <w:tcBorders>
              <w:top w:val="nil"/>
              <w:left w:val="single" w:color="auto" w:sz="4" w:space="0"/>
              <w:bottom w:val="nil"/>
              <w:right w:val="single" w:color="auto" w:sz="12" w:space="0"/>
            </w:tcBorders>
          </w:tcPr>
          <w:p w14:paraId="5754782B">
            <w:pPr>
              <w:autoSpaceDE w:val="0"/>
              <w:autoSpaceDN w:val="0"/>
              <w:adjustRightInd w:val="0"/>
              <w:spacing w:after="0" w:line="240" w:lineRule="auto"/>
              <w:rPr>
                <w:rFonts w:ascii="Times New Roman" w:hAnsi="Times New Roman"/>
              </w:rPr>
            </w:pPr>
            <w:r>
              <w:rPr>
                <w:rFonts w:ascii="Arial" w:hAnsi="Arial" w:cs="Arial"/>
                <w:sz w:val="16"/>
                <w:szCs w:val="16"/>
              </w:rPr>
              <w:t xml:space="preserve"> </w:t>
            </w:r>
          </w:p>
        </w:tc>
      </w:tr>
      <w:tr w14:paraId="74DC8314">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14:paraId="473DB43C">
            <w:pPr>
              <w:keepLines/>
              <w:autoSpaceDE w:val="0"/>
              <w:autoSpaceDN w:val="0"/>
              <w:spacing w:after="0" w:line="240" w:lineRule="auto"/>
              <w:jc w:val="center"/>
              <w:rPr>
                <w:rFonts w:ascii="Times New Roman" w:hAnsi="Times New Roman"/>
              </w:rPr>
            </w:pPr>
            <w:r>
              <w:rPr>
                <w:rFonts w:ascii="Arial" w:hAnsi="Arial" w:cs="Arial"/>
                <w:spacing w:val="-5"/>
                <w:sz w:val="20"/>
                <w:szCs w:val="20"/>
              </w:rPr>
              <w:t>2</w:t>
            </w:r>
          </w:p>
        </w:tc>
        <w:tc>
          <w:tcPr>
            <w:tcW w:w="5387" w:type="dxa"/>
            <w:tcBorders>
              <w:top w:val="nil"/>
              <w:left w:val="nil"/>
              <w:bottom w:val="nil"/>
              <w:right w:val="nil"/>
            </w:tcBorders>
          </w:tcPr>
          <w:p w14:paraId="20A0DA47">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підстильних та вирівнювальних шарів</w:t>
            </w:r>
          </w:p>
          <w:p w14:paraId="55E2896B">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основи із щебенево-піщаної суміші</w:t>
            </w:r>
          </w:p>
          <w:p w14:paraId="0FA48AB5">
            <w:pPr>
              <w:keepLines/>
              <w:autoSpaceDE w:val="0"/>
              <w:autoSpaceDN w:val="0"/>
              <w:spacing w:after="0" w:line="240" w:lineRule="auto"/>
              <w:rPr>
                <w:rFonts w:ascii="Times New Roman" w:hAnsi="Times New Roman"/>
              </w:rPr>
            </w:pPr>
          </w:p>
        </w:tc>
        <w:tc>
          <w:tcPr>
            <w:tcW w:w="1418" w:type="dxa"/>
            <w:tcBorders>
              <w:top w:val="nil"/>
              <w:left w:val="single" w:color="auto" w:sz="4" w:space="0"/>
              <w:bottom w:val="nil"/>
              <w:right w:val="nil"/>
            </w:tcBorders>
          </w:tcPr>
          <w:p w14:paraId="366A08F0">
            <w:pPr>
              <w:keepLines/>
              <w:autoSpaceDE w:val="0"/>
              <w:autoSpaceDN w:val="0"/>
              <w:spacing w:after="0" w:line="240" w:lineRule="auto"/>
              <w:jc w:val="center"/>
              <w:rPr>
                <w:rFonts w:ascii="Times New Roman" w:hAnsi="Times New Roman"/>
              </w:rPr>
            </w:pPr>
            <w:r>
              <w:rPr>
                <w:rFonts w:ascii="Arial" w:hAnsi="Arial" w:cs="Arial"/>
                <w:spacing w:val="-5"/>
                <w:sz w:val="20"/>
                <w:szCs w:val="20"/>
              </w:rPr>
              <w:t>м3</w:t>
            </w:r>
          </w:p>
        </w:tc>
        <w:tc>
          <w:tcPr>
            <w:tcW w:w="1418" w:type="dxa"/>
            <w:tcBorders>
              <w:top w:val="nil"/>
              <w:left w:val="single" w:color="auto" w:sz="4" w:space="0"/>
              <w:bottom w:val="nil"/>
              <w:right w:val="single" w:color="auto" w:sz="4" w:space="0"/>
            </w:tcBorders>
          </w:tcPr>
          <w:p w14:paraId="1CE5A818">
            <w:pPr>
              <w:keepLines/>
              <w:autoSpaceDE w:val="0"/>
              <w:autoSpaceDN w:val="0"/>
              <w:spacing w:after="0" w:line="240" w:lineRule="auto"/>
              <w:jc w:val="center"/>
              <w:rPr>
                <w:rFonts w:ascii="Times New Roman" w:hAnsi="Times New Roman"/>
              </w:rPr>
            </w:pPr>
            <w:r>
              <w:rPr>
                <w:rFonts w:ascii="Arial" w:hAnsi="Arial" w:cs="Arial"/>
                <w:spacing w:val="-5"/>
                <w:sz w:val="20"/>
                <w:szCs w:val="20"/>
              </w:rPr>
              <w:t>40,85</w:t>
            </w:r>
          </w:p>
        </w:tc>
        <w:tc>
          <w:tcPr>
            <w:tcW w:w="1418" w:type="dxa"/>
            <w:tcBorders>
              <w:top w:val="nil"/>
              <w:left w:val="single" w:color="auto" w:sz="4" w:space="0"/>
              <w:bottom w:val="nil"/>
              <w:right w:val="single" w:color="auto" w:sz="12" w:space="0"/>
            </w:tcBorders>
          </w:tcPr>
          <w:p w14:paraId="316E7072">
            <w:pPr>
              <w:autoSpaceDE w:val="0"/>
              <w:autoSpaceDN w:val="0"/>
              <w:adjustRightInd w:val="0"/>
              <w:spacing w:after="0" w:line="240" w:lineRule="auto"/>
              <w:rPr>
                <w:rFonts w:ascii="Times New Roman" w:hAnsi="Times New Roman"/>
              </w:rPr>
            </w:pPr>
            <w:r>
              <w:rPr>
                <w:rFonts w:ascii="Arial" w:hAnsi="Arial" w:cs="Arial"/>
                <w:sz w:val="16"/>
                <w:szCs w:val="16"/>
              </w:rPr>
              <w:t xml:space="preserve"> </w:t>
            </w:r>
          </w:p>
        </w:tc>
      </w:tr>
      <w:tr w14:paraId="7350062B">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14:paraId="4A9D82E9">
            <w:pPr>
              <w:keepLines/>
              <w:autoSpaceDE w:val="0"/>
              <w:autoSpaceDN w:val="0"/>
              <w:spacing w:after="0" w:line="240" w:lineRule="auto"/>
              <w:jc w:val="center"/>
              <w:rPr>
                <w:rFonts w:ascii="Times New Roman" w:hAnsi="Times New Roman"/>
              </w:rPr>
            </w:pPr>
            <w:r>
              <w:rPr>
                <w:rFonts w:ascii="Arial" w:hAnsi="Arial" w:cs="Arial"/>
                <w:spacing w:val="-5"/>
                <w:sz w:val="20"/>
                <w:szCs w:val="20"/>
              </w:rPr>
              <w:t>3</w:t>
            </w:r>
          </w:p>
        </w:tc>
        <w:tc>
          <w:tcPr>
            <w:tcW w:w="5387" w:type="dxa"/>
            <w:tcBorders>
              <w:top w:val="nil"/>
              <w:left w:val="nil"/>
              <w:bottom w:val="nil"/>
              <w:right w:val="nil"/>
            </w:tcBorders>
          </w:tcPr>
          <w:p w14:paraId="18BFAC7A">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вирівнювального шару з</w:t>
            </w:r>
          </w:p>
          <w:p w14:paraId="0C48761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асфальтобетонної суміші із застосуванням</w:t>
            </w:r>
          </w:p>
          <w:p w14:paraId="52E681C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укладальників асфальтобетону</w:t>
            </w:r>
          </w:p>
          <w:p w14:paraId="02237BD8">
            <w:pPr>
              <w:keepLines/>
              <w:autoSpaceDE w:val="0"/>
              <w:autoSpaceDN w:val="0"/>
              <w:spacing w:after="0" w:line="240" w:lineRule="auto"/>
              <w:rPr>
                <w:rFonts w:ascii="Times New Roman" w:hAnsi="Times New Roman"/>
              </w:rPr>
            </w:pPr>
          </w:p>
        </w:tc>
        <w:tc>
          <w:tcPr>
            <w:tcW w:w="1418" w:type="dxa"/>
            <w:tcBorders>
              <w:top w:val="nil"/>
              <w:left w:val="single" w:color="auto" w:sz="4" w:space="0"/>
              <w:bottom w:val="nil"/>
              <w:right w:val="nil"/>
            </w:tcBorders>
          </w:tcPr>
          <w:p w14:paraId="2652BA21">
            <w:pPr>
              <w:keepLines/>
              <w:autoSpaceDE w:val="0"/>
              <w:autoSpaceDN w:val="0"/>
              <w:spacing w:after="0" w:line="240" w:lineRule="auto"/>
              <w:jc w:val="center"/>
              <w:rPr>
                <w:rFonts w:ascii="Times New Roman" w:hAnsi="Times New Roman"/>
              </w:rPr>
            </w:pPr>
            <w:r>
              <w:rPr>
                <w:rFonts w:ascii="Arial" w:hAnsi="Arial" w:cs="Arial"/>
                <w:spacing w:val="-5"/>
                <w:sz w:val="20"/>
                <w:szCs w:val="20"/>
              </w:rPr>
              <w:t>т</w:t>
            </w:r>
          </w:p>
        </w:tc>
        <w:tc>
          <w:tcPr>
            <w:tcW w:w="1418" w:type="dxa"/>
            <w:tcBorders>
              <w:top w:val="nil"/>
              <w:left w:val="single" w:color="auto" w:sz="4" w:space="0"/>
              <w:bottom w:val="nil"/>
              <w:right w:val="single" w:color="auto" w:sz="4" w:space="0"/>
            </w:tcBorders>
          </w:tcPr>
          <w:p w14:paraId="4EBB415B">
            <w:pPr>
              <w:keepLines/>
              <w:autoSpaceDE w:val="0"/>
              <w:autoSpaceDN w:val="0"/>
              <w:spacing w:after="0" w:line="240" w:lineRule="auto"/>
              <w:jc w:val="center"/>
              <w:rPr>
                <w:rFonts w:ascii="Times New Roman" w:hAnsi="Times New Roman"/>
              </w:rPr>
            </w:pPr>
            <w:r>
              <w:rPr>
                <w:rFonts w:ascii="Arial" w:hAnsi="Arial" w:cs="Arial"/>
                <w:spacing w:val="-5"/>
                <w:sz w:val="20"/>
                <w:szCs w:val="20"/>
              </w:rPr>
              <w:t>100,64</w:t>
            </w:r>
          </w:p>
        </w:tc>
        <w:tc>
          <w:tcPr>
            <w:tcW w:w="1418" w:type="dxa"/>
            <w:tcBorders>
              <w:top w:val="nil"/>
              <w:left w:val="single" w:color="auto" w:sz="4" w:space="0"/>
              <w:bottom w:val="nil"/>
              <w:right w:val="single" w:color="auto" w:sz="12" w:space="0"/>
            </w:tcBorders>
          </w:tcPr>
          <w:p w14:paraId="00C727D7">
            <w:pPr>
              <w:autoSpaceDE w:val="0"/>
              <w:autoSpaceDN w:val="0"/>
              <w:adjustRightInd w:val="0"/>
              <w:spacing w:after="0" w:line="240" w:lineRule="auto"/>
              <w:rPr>
                <w:rFonts w:ascii="Times New Roman" w:hAnsi="Times New Roman"/>
              </w:rPr>
            </w:pPr>
            <w:r>
              <w:rPr>
                <w:rFonts w:ascii="Arial" w:hAnsi="Arial" w:cs="Arial"/>
                <w:sz w:val="16"/>
                <w:szCs w:val="16"/>
              </w:rPr>
              <w:t xml:space="preserve"> </w:t>
            </w:r>
          </w:p>
        </w:tc>
      </w:tr>
      <w:tr w14:paraId="3BC200DC">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14:paraId="6009A01F">
            <w:pPr>
              <w:keepLines/>
              <w:autoSpaceDE w:val="0"/>
              <w:autoSpaceDN w:val="0"/>
              <w:spacing w:after="0" w:line="240" w:lineRule="auto"/>
              <w:jc w:val="center"/>
              <w:rPr>
                <w:rFonts w:ascii="Times New Roman" w:hAnsi="Times New Roman"/>
              </w:rPr>
            </w:pPr>
            <w:r>
              <w:rPr>
                <w:rFonts w:ascii="Arial" w:hAnsi="Arial" w:cs="Arial"/>
                <w:spacing w:val="-5"/>
                <w:sz w:val="20"/>
                <w:szCs w:val="20"/>
              </w:rPr>
              <w:t>4</w:t>
            </w:r>
          </w:p>
        </w:tc>
        <w:tc>
          <w:tcPr>
            <w:tcW w:w="5387" w:type="dxa"/>
            <w:tcBorders>
              <w:top w:val="nil"/>
              <w:left w:val="nil"/>
              <w:bottom w:val="nil"/>
              <w:right w:val="nil"/>
            </w:tcBorders>
          </w:tcPr>
          <w:p w14:paraId="7737A673">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Розробка ґрунту в траншеях та котлованах</w:t>
            </w:r>
          </w:p>
          <w:p w14:paraId="2CF9869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екскаваторами місткістю ковша 0,25 м3 з</w:t>
            </w:r>
          </w:p>
          <w:p w14:paraId="7BADD9D2">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навантаженням на автомобілі-самоскиди, група ґрунту 2</w:t>
            </w:r>
          </w:p>
          <w:p w14:paraId="70A6040E">
            <w:pPr>
              <w:keepLines/>
              <w:autoSpaceDE w:val="0"/>
              <w:autoSpaceDN w:val="0"/>
              <w:spacing w:after="0" w:line="240" w:lineRule="auto"/>
              <w:rPr>
                <w:rFonts w:ascii="Times New Roman" w:hAnsi="Times New Roman"/>
              </w:rPr>
            </w:pPr>
          </w:p>
        </w:tc>
        <w:tc>
          <w:tcPr>
            <w:tcW w:w="1418" w:type="dxa"/>
            <w:tcBorders>
              <w:top w:val="nil"/>
              <w:left w:val="single" w:color="auto" w:sz="4" w:space="0"/>
              <w:bottom w:val="nil"/>
              <w:right w:val="nil"/>
            </w:tcBorders>
          </w:tcPr>
          <w:p w14:paraId="2BF69096">
            <w:pPr>
              <w:keepLines/>
              <w:autoSpaceDE w:val="0"/>
              <w:autoSpaceDN w:val="0"/>
              <w:spacing w:after="0" w:line="240" w:lineRule="auto"/>
              <w:jc w:val="center"/>
              <w:rPr>
                <w:rFonts w:ascii="Times New Roman" w:hAnsi="Times New Roman"/>
              </w:rPr>
            </w:pPr>
            <w:r>
              <w:rPr>
                <w:rFonts w:ascii="Arial" w:hAnsi="Arial" w:cs="Arial"/>
                <w:spacing w:val="-5"/>
                <w:sz w:val="20"/>
                <w:szCs w:val="20"/>
              </w:rPr>
              <w:t xml:space="preserve"> м3</w:t>
            </w:r>
          </w:p>
        </w:tc>
        <w:tc>
          <w:tcPr>
            <w:tcW w:w="1418" w:type="dxa"/>
            <w:tcBorders>
              <w:top w:val="nil"/>
              <w:left w:val="single" w:color="auto" w:sz="4" w:space="0"/>
              <w:bottom w:val="nil"/>
              <w:right w:val="single" w:color="auto" w:sz="4" w:space="0"/>
            </w:tcBorders>
          </w:tcPr>
          <w:p w14:paraId="2D159BF1">
            <w:pPr>
              <w:keepLines/>
              <w:autoSpaceDE w:val="0"/>
              <w:autoSpaceDN w:val="0"/>
              <w:spacing w:after="0" w:line="240" w:lineRule="auto"/>
              <w:jc w:val="center"/>
              <w:rPr>
                <w:rFonts w:ascii="Times New Roman" w:hAnsi="Times New Roman"/>
              </w:rPr>
            </w:pPr>
            <w:r>
              <w:rPr>
                <w:rFonts w:ascii="Arial" w:hAnsi="Arial" w:cs="Arial"/>
                <w:spacing w:val="-5"/>
                <w:sz w:val="20"/>
                <w:szCs w:val="20"/>
              </w:rPr>
              <w:t>20</w:t>
            </w:r>
          </w:p>
        </w:tc>
        <w:tc>
          <w:tcPr>
            <w:tcW w:w="1418" w:type="dxa"/>
            <w:tcBorders>
              <w:top w:val="nil"/>
              <w:left w:val="single" w:color="auto" w:sz="4" w:space="0"/>
              <w:bottom w:val="nil"/>
              <w:right w:val="single" w:color="auto" w:sz="12" w:space="0"/>
            </w:tcBorders>
          </w:tcPr>
          <w:p w14:paraId="310C3109">
            <w:pPr>
              <w:autoSpaceDE w:val="0"/>
              <w:autoSpaceDN w:val="0"/>
              <w:adjustRightInd w:val="0"/>
              <w:spacing w:after="0" w:line="240" w:lineRule="auto"/>
              <w:rPr>
                <w:rFonts w:ascii="Times New Roman" w:hAnsi="Times New Roman"/>
              </w:rPr>
            </w:pPr>
            <w:r>
              <w:rPr>
                <w:rFonts w:ascii="Arial" w:hAnsi="Arial" w:cs="Arial"/>
                <w:sz w:val="16"/>
                <w:szCs w:val="16"/>
              </w:rPr>
              <w:t xml:space="preserve"> </w:t>
            </w:r>
          </w:p>
        </w:tc>
      </w:tr>
      <w:tr w14:paraId="255C936E">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14:paraId="1CA7C28E">
            <w:pPr>
              <w:keepLines/>
              <w:autoSpaceDE w:val="0"/>
              <w:autoSpaceDN w:val="0"/>
              <w:spacing w:after="0" w:line="240" w:lineRule="auto"/>
              <w:jc w:val="center"/>
              <w:rPr>
                <w:rFonts w:ascii="Times New Roman" w:hAnsi="Times New Roman"/>
              </w:rPr>
            </w:pPr>
            <w:r>
              <w:rPr>
                <w:rFonts w:ascii="Arial" w:hAnsi="Arial" w:cs="Arial"/>
                <w:spacing w:val="-5"/>
                <w:sz w:val="20"/>
                <w:szCs w:val="20"/>
              </w:rPr>
              <w:t>5</w:t>
            </w:r>
          </w:p>
        </w:tc>
        <w:tc>
          <w:tcPr>
            <w:tcW w:w="5387" w:type="dxa"/>
            <w:tcBorders>
              <w:top w:val="nil"/>
              <w:left w:val="nil"/>
              <w:bottom w:val="nil"/>
              <w:right w:val="nil"/>
            </w:tcBorders>
          </w:tcPr>
          <w:p w14:paraId="067A016B">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Перевезення ґрунту до 2 км</w:t>
            </w:r>
          </w:p>
          <w:p w14:paraId="2BC42075">
            <w:pPr>
              <w:keepLines/>
              <w:autoSpaceDE w:val="0"/>
              <w:autoSpaceDN w:val="0"/>
              <w:spacing w:after="0" w:line="240" w:lineRule="auto"/>
              <w:rPr>
                <w:rFonts w:ascii="Times New Roman" w:hAnsi="Times New Roman"/>
              </w:rPr>
            </w:pPr>
          </w:p>
        </w:tc>
        <w:tc>
          <w:tcPr>
            <w:tcW w:w="1418" w:type="dxa"/>
            <w:tcBorders>
              <w:top w:val="nil"/>
              <w:left w:val="single" w:color="auto" w:sz="4" w:space="0"/>
              <w:bottom w:val="nil"/>
              <w:right w:val="nil"/>
            </w:tcBorders>
          </w:tcPr>
          <w:p w14:paraId="1E1DF515">
            <w:pPr>
              <w:keepLines/>
              <w:autoSpaceDE w:val="0"/>
              <w:autoSpaceDN w:val="0"/>
              <w:spacing w:after="0" w:line="240" w:lineRule="auto"/>
              <w:jc w:val="center"/>
              <w:rPr>
                <w:rFonts w:ascii="Times New Roman" w:hAnsi="Times New Roman"/>
              </w:rPr>
            </w:pPr>
            <w:r>
              <w:rPr>
                <w:rFonts w:ascii="Arial" w:hAnsi="Arial" w:cs="Arial"/>
                <w:spacing w:val="-5"/>
                <w:sz w:val="20"/>
                <w:szCs w:val="20"/>
              </w:rPr>
              <w:t>т</w:t>
            </w:r>
          </w:p>
        </w:tc>
        <w:tc>
          <w:tcPr>
            <w:tcW w:w="1418" w:type="dxa"/>
            <w:tcBorders>
              <w:top w:val="nil"/>
              <w:left w:val="single" w:color="auto" w:sz="4" w:space="0"/>
              <w:bottom w:val="nil"/>
              <w:right w:val="single" w:color="auto" w:sz="4" w:space="0"/>
            </w:tcBorders>
          </w:tcPr>
          <w:p w14:paraId="7E4FF287">
            <w:pPr>
              <w:keepLines/>
              <w:autoSpaceDE w:val="0"/>
              <w:autoSpaceDN w:val="0"/>
              <w:spacing w:after="0" w:line="240" w:lineRule="auto"/>
              <w:jc w:val="center"/>
              <w:rPr>
                <w:rFonts w:ascii="Times New Roman" w:hAnsi="Times New Roman"/>
              </w:rPr>
            </w:pPr>
            <w:r>
              <w:rPr>
                <w:rFonts w:ascii="Arial" w:hAnsi="Arial" w:cs="Arial"/>
                <w:spacing w:val="-5"/>
                <w:sz w:val="20"/>
                <w:szCs w:val="20"/>
              </w:rPr>
              <w:t>34</w:t>
            </w:r>
          </w:p>
        </w:tc>
        <w:tc>
          <w:tcPr>
            <w:tcW w:w="1418" w:type="dxa"/>
            <w:tcBorders>
              <w:top w:val="nil"/>
              <w:left w:val="single" w:color="auto" w:sz="4" w:space="0"/>
              <w:bottom w:val="nil"/>
              <w:right w:val="single" w:color="auto" w:sz="12" w:space="0"/>
            </w:tcBorders>
          </w:tcPr>
          <w:p w14:paraId="5C182552">
            <w:pPr>
              <w:autoSpaceDE w:val="0"/>
              <w:autoSpaceDN w:val="0"/>
              <w:adjustRightInd w:val="0"/>
              <w:spacing w:after="0" w:line="240" w:lineRule="auto"/>
              <w:rPr>
                <w:rFonts w:ascii="Times New Roman" w:hAnsi="Times New Roman"/>
              </w:rPr>
            </w:pPr>
            <w:r>
              <w:rPr>
                <w:rFonts w:ascii="Arial" w:hAnsi="Arial" w:cs="Arial"/>
                <w:sz w:val="16"/>
                <w:szCs w:val="16"/>
              </w:rPr>
              <w:t xml:space="preserve"> </w:t>
            </w:r>
          </w:p>
        </w:tc>
      </w:tr>
      <w:tr w14:paraId="6045A9C6">
        <w:tblPrEx>
          <w:tblCellMar>
            <w:top w:w="0" w:type="dxa"/>
            <w:left w:w="28" w:type="dxa"/>
            <w:bottom w:w="0" w:type="dxa"/>
            <w:right w:w="28" w:type="dxa"/>
          </w:tblCellMar>
        </w:tblPrEx>
        <w:trPr>
          <w:jc w:val="center"/>
        </w:trPr>
        <w:tc>
          <w:tcPr>
            <w:tcW w:w="567" w:type="dxa"/>
            <w:tcBorders>
              <w:top w:val="nil"/>
              <w:left w:val="single" w:color="auto" w:sz="12" w:space="0"/>
              <w:bottom w:val="nil"/>
              <w:right w:val="single" w:color="auto" w:sz="4" w:space="0"/>
            </w:tcBorders>
          </w:tcPr>
          <w:p w14:paraId="6B90B83A">
            <w:pPr>
              <w:keepLines/>
              <w:autoSpaceDE w:val="0"/>
              <w:autoSpaceDN w:val="0"/>
              <w:spacing w:after="0" w:line="240" w:lineRule="auto"/>
              <w:jc w:val="center"/>
              <w:rPr>
                <w:rFonts w:ascii="Times New Roman" w:hAnsi="Times New Roman"/>
              </w:rPr>
            </w:pPr>
            <w:r>
              <w:rPr>
                <w:rFonts w:ascii="Arial" w:hAnsi="Arial" w:cs="Arial"/>
                <w:spacing w:val="-5"/>
                <w:sz w:val="20"/>
                <w:szCs w:val="20"/>
              </w:rPr>
              <w:t>6</w:t>
            </w:r>
          </w:p>
        </w:tc>
        <w:tc>
          <w:tcPr>
            <w:tcW w:w="5387" w:type="dxa"/>
            <w:tcBorders>
              <w:top w:val="nil"/>
              <w:left w:val="nil"/>
              <w:bottom w:val="nil"/>
              <w:right w:val="nil"/>
            </w:tcBorders>
          </w:tcPr>
          <w:p w14:paraId="79D48F59">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Ущільнення ґрунту котками масою 8 т за перший прохід</w:t>
            </w:r>
          </w:p>
          <w:p w14:paraId="6A8C47E2">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 одному сліду при товщині шару 10 см /з</w:t>
            </w:r>
          </w:p>
          <w:p w14:paraId="22AEA15D">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розрівнювання грунту автогрейдером перед</w:t>
            </w:r>
          </w:p>
          <w:p w14:paraId="29F87E09">
            <w:pPr>
              <w:keepLines/>
              <w:autoSpaceDE w:val="0"/>
              <w:autoSpaceDN w:val="0"/>
              <w:spacing w:after="0" w:line="240" w:lineRule="auto"/>
              <w:rPr>
                <w:rFonts w:ascii="Times New Roman" w:hAnsi="Times New Roman"/>
              </w:rPr>
            </w:pPr>
            <w:r>
              <w:rPr>
                <w:rFonts w:ascii="Arial" w:hAnsi="Arial" w:cs="Arial"/>
                <w:spacing w:val="-5"/>
                <w:sz w:val="20"/>
                <w:szCs w:val="20"/>
              </w:rPr>
              <w:t>ущільненням/</w:t>
            </w:r>
          </w:p>
        </w:tc>
        <w:tc>
          <w:tcPr>
            <w:tcW w:w="1418" w:type="dxa"/>
            <w:tcBorders>
              <w:top w:val="nil"/>
              <w:left w:val="single" w:color="auto" w:sz="4" w:space="0"/>
              <w:bottom w:val="nil"/>
              <w:right w:val="nil"/>
            </w:tcBorders>
          </w:tcPr>
          <w:p w14:paraId="3D07E793">
            <w:pPr>
              <w:keepLines/>
              <w:autoSpaceDE w:val="0"/>
              <w:autoSpaceDN w:val="0"/>
              <w:spacing w:after="0" w:line="240" w:lineRule="auto"/>
              <w:jc w:val="center"/>
              <w:rPr>
                <w:rFonts w:ascii="Times New Roman" w:hAnsi="Times New Roman"/>
              </w:rPr>
            </w:pPr>
            <w:r>
              <w:rPr>
                <w:rFonts w:ascii="Arial" w:hAnsi="Arial" w:cs="Arial"/>
                <w:spacing w:val="-5"/>
                <w:sz w:val="20"/>
                <w:szCs w:val="20"/>
              </w:rPr>
              <w:t>м3</w:t>
            </w:r>
          </w:p>
        </w:tc>
        <w:tc>
          <w:tcPr>
            <w:tcW w:w="1418" w:type="dxa"/>
            <w:tcBorders>
              <w:top w:val="nil"/>
              <w:left w:val="single" w:color="auto" w:sz="4" w:space="0"/>
              <w:bottom w:val="nil"/>
              <w:right w:val="single" w:color="auto" w:sz="4" w:space="0"/>
            </w:tcBorders>
          </w:tcPr>
          <w:p w14:paraId="734BD71A">
            <w:pPr>
              <w:keepLines/>
              <w:autoSpaceDE w:val="0"/>
              <w:autoSpaceDN w:val="0"/>
              <w:spacing w:after="0" w:line="240" w:lineRule="auto"/>
              <w:jc w:val="center"/>
              <w:rPr>
                <w:rFonts w:ascii="Times New Roman" w:hAnsi="Times New Roman"/>
              </w:rPr>
            </w:pPr>
            <w:r>
              <w:rPr>
                <w:rFonts w:ascii="Arial" w:hAnsi="Arial" w:cs="Arial"/>
                <w:spacing w:val="-5"/>
                <w:sz w:val="20"/>
                <w:szCs w:val="20"/>
              </w:rPr>
              <w:t>20</w:t>
            </w:r>
          </w:p>
        </w:tc>
        <w:tc>
          <w:tcPr>
            <w:tcW w:w="1418" w:type="dxa"/>
            <w:tcBorders>
              <w:top w:val="nil"/>
              <w:left w:val="single" w:color="auto" w:sz="4" w:space="0"/>
              <w:bottom w:val="nil"/>
              <w:right w:val="single" w:color="auto" w:sz="12" w:space="0"/>
            </w:tcBorders>
          </w:tcPr>
          <w:p w14:paraId="3F880572">
            <w:pPr>
              <w:autoSpaceDE w:val="0"/>
              <w:autoSpaceDN w:val="0"/>
              <w:adjustRightInd w:val="0"/>
              <w:spacing w:after="0" w:line="240" w:lineRule="auto"/>
              <w:rPr>
                <w:rFonts w:ascii="Times New Roman" w:hAnsi="Times New Roman"/>
              </w:rPr>
            </w:pPr>
            <w:r>
              <w:rPr>
                <w:rFonts w:ascii="Arial" w:hAnsi="Arial" w:cs="Arial"/>
                <w:sz w:val="16"/>
                <w:szCs w:val="16"/>
              </w:rPr>
              <w:t xml:space="preserve"> </w:t>
            </w:r>
          </w:p>
        </w:tc>
      </w:tr>
    </w:tbl>
    <w:p w14:paraId="2DF7CDBA">
      <w:pPr>
        <w:spacing w:after="0" w:line="240" w:lineRule="auto"/>
        <w:jc w:val="both"/>
        <w:rPr>
          <w:rFonts w:ascii="Times New Roman" w:hAnsi="Times New Roman" w:eastAsia="Times New Roman"/>
          <w:lang w:val="ru-RU"/>
        </w:rPr>
      </w:pPr>
    </w:p>
    <w:sectPr>
      <w:pgSz w:w="11906" w:h="16838"/>
      <w:pgMar w:top="850" w:right="850" w:bottom="850" w:left="1417"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Georgia">
    <w:panose1 w:val="02040502050405020303"/>
    <w:charset w:val="CC"/>
    <w:family w:val="roman"/>
    <w:pitch w:val="default"/>
    <w:sig w:usb0="00000287" w:usb1="00000000" w:usb2="00000000" w:usb3="00000000" w:csb0="2000009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FF8"/>
    <w:rsid w:val="000D376B"/>
    <w:rsid w:val="001E031C"/>
    <w:rsid w:val="00236E62"/>
    <w:rsid w:val="00254FA6"/>
    <w:rsid w:val="002A11BC"/>
    <w:rsid w:val="004C3FF8"/>
    <w:rsid w:val="00541F0A"/>
    <w:rsid w:val="0080293D"/>
    <w:rsid w:val="008D4D85"/>
    <w:rsid w:val="00BC58D2"/>
    <w:rsid w:val="00D04A51"/>
    <w:rsid w:val="00D05D86"/>
    <w:rsid w:val="00D34BD7"/>
    <w:rsid w:val="00E62F29"/>
    <w:rsid w:val="00F743D0"/>
    <w:rsid w:val="36FB329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200" w:line="276" w:lineRule="auto"/>
    </w:pPr>
    <w:rPr>
      <w:rFonts w:ascii="Calibri" w:hAnsi="Calibri" w:eastAsia="Calibri" w:cs="Times New Roman"/>
      <w:sz w:val="22"/>
      <w:szCs w:val="22"/>
      <w:lang w:val="uk-UA" w:eastAsia="ru-RU"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sz w:val="24"/>
      <w:szCs w:val="24"/>
    </w:rPr>
  </w:style>
  <w:style w:type="paragraph" w:styleId="6">
    <w:name w:val="heading 5"/>
    <w:basedOn w:val="1"/>
    <w:next w:val="1"/>
    <w:uiPriority w:val="0"/>
    <w:pPr>
      <w:keepNext/>
      <w:keepLines/>
      <w:spacing w:before="220" w:after="40"/>
      <w:outlineLvl w:val="4"/>
    </w:pPr>
    <w:rPr>
      <w:b/>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Emphasis"/>
    <w:qFormat/>
    <w:uiPriority w:val="20"/>
    <w:rPr>
      <w:i/>
      <w:iCs/>
    </w:rPr>
  </w:style>
  <w:style w:type="character" w:styleId="11">
    <w:name w:val="Hyperlink"/>
    <w:semiHidden/>
    <w:unhideWhenUsed/>
    <w:uiPriority w:val="99"/>
    <w:rPr>
      <w:color w:val="0000FF"/>
      <w:u w:val="single"/>
    </w:rPr>
  </w:style>
  <w:style w:type="paragraph" w:styleId="12">
    <w:name w:val="Title"/>
    <w:basedOn w:val="1"/>
    <w:next w:val="1"/>
    <w:uiPriority w:val="0"/>
    <w:pPr>
      <w:keepNext/>
      <w:keepLines/>
      <w:spacing w:before="480" w:after="120"/>
    </w:pPr>
    <w:rPr>
      <w:b/>
      <w:sz w:val="72"/>
      <w:szCs w:val="72"/>
    </w:rPr>
  </w:style>
  <w:style w:type="paragraph" w:styleId="13">
    <w:name w:val="Subtitle"/>
    <w:basedOn w:val="1"/>
    <w:next w:val="1"/>
    <w:uiPriority w:val="0"/>
    <w:pPr>
      <w:keepNext/>
      <w:keepLines/>
      <w:spacing w:before="360" w:after="80"/>
    </w:pPr>
    <w:rPr>
      <w:rFonts w:ascii="Georgia" w:hAnsi="Georgia" w:eastAsia="Georgia" w:cs="Georgia"/>
      <w:i/>
      <w:color w:val="666666"/>
      <w:sz w:val="48"/>
      <w:szCs w:val="48"/>
    </w:rPr>
  </w:style>
  <w:style w:type="table" w:customStyle="1" w:styleId="14">
    <w:name w:val="Table Normal"/>
    <w:uiPriority w:val="0"/>
    <w:tblPr>
      <w:tblCellMar>
        <w:top w:w="0" w:type="dxa"/>
        <w:left w:w="0" w:type="dxa"/>
        <w:bottom w:w="0" w:type="dxa"/>
        <w:right w:w="0" w:type="dxa"/>
      </w:tblCellMar>
    </w:tblPr>
  </w:style>
  <w:style w:type="character" w:customStyle="1" w:styleId="15">
    <w:name w:val="rvts0"/>
    <w:basedOn w:val="8"/>
    <w:qFormat/>
    <w:uiPriority w:val="0"/>
  </w:style>
  <w:style w:type="character" w:customStyle="1" w:styleId="16">
    <w:name w:val="h-pre-line"/>
    <w:basedOn w:val="8"/>
    <w:uiPriority w:val="0"/>
  </w:style>
  <w:style w:type="character" w:customStyle="1" w:styleId="17">
    <w:name w:val="h-hidden"/>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xIbeQufqjHiprVrnLsK83Z50wg==">CgMxLjAyCWlkLmdqZGd4czIKaWQuMzBqMHpsbDgAciExVzNtb2dBbjFQTjJ0MS1fQ1IxSU1HTzBPNmdhY29PZ2w=</go:docsCustomData>
</go:gDocsCustomXmlDataStorage>
</file>

<file path=customXml/itemProps1.xml><?xml version="1.0" encoding="utf-8"?>
<ds:datastoreItem xmlns:ds="http://schemas.openxmlformats.org/officeDocument/2006/customXml" ds:itemID="{91E02E92-2A51-43D0-9882-B86569099532}">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2</Pages>
  <Words>656</Words>
  <Characters>3744</Characters>
  <Lines>31</Lines>
  <Paragraphs>8</Paragraphs>
  <TotalTime>0</TotalTime>
  <ScaleCrop>false</ScaleCrop>
  <LinksUpToDate>false</LinksUpToDate>
  <CharactersWithSpaces>4392</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2021-03-02T07:11:00Z</dcterms:created>
  <dc:creator>userua12</dc:creator>
  <cp:lastModifiedBy>User</cp:lastModifiedBy>
  <cp:lastPrinted>2025-09-09T06:37:00Z</cp:lastPrinted>
  <dcterms:modified xsi:type="dcterms:W3CDTF">2025-09-09T07:11:17Z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8FA0EF38C54D4A72A3C6C9675282BEA1_12</vt:lpwstr>
  </property>
</Properties>
</file>